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Times New Roman" w:cs="Times New Roman"/>
          <w:color w:val="C9211E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color w:val="C9211E"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ind w:firstLine="709"/>
        <w:jc w:val="center"/>
        <w:rPr>
          <w:color w:val="000000"/>
        </w:rPr>
      </w:pPr>
      <w:r>
        <w:rPr>
          <w:rFonts w:eastAsia="Times New Roman" w:cs="Times New Roman" w:ascii="PT Astra Serif" w:hAnsi="PT Astra Serif"/>
          <w:b/>
          <w:color w:val="000000"/>
          <w:sz w:val="28"/>
          <w:szCs w:val="28"/>
          <w:lang w:eastAsia="ru-RU"/>
        </w:rPr>
        <w:t>АНАЛИЗ</w:t>
      </w:r>
    </w:p>
    <w:p>
      <w:pPr>
        <w:pStyle w:val="Normal"/>
        <w:spacing w:lineRule="auto" w:line="240" w:before="0" w:after="0"/>
        <w:ind w:firstLine="709"/>
        <w:jc w:val="center"/>
        <w:rPr>
          <w:color w:val="000000"/>
        </w:rPr>
      </w:pPr>
      <w:r>
        <w:rPr>
          <w:rFonts w:eastAsia="Times New Roman" w:cs="Times New Roman" w:ascii="PT Astra Serif" w:hAnsi="PT Astra Serif"/>
          <w:color w:val="000000"/>
          <w:sz w:val="28"/>
          <w:szCs w:val="28"/>
          <w:lang w:eastAsia="ru-RU"/>
        </w:rPr>
        <w:t xml:space="preserve">практики осуществления Управлением Росгвардии </w:t>
      </w:r>
    </w:p>
    <w:p>
      <w:pPr>
        <w:pStyle w:val="Normal"/>
        <w:spacing w:lineRule="auto" w:line="240" w:before="0" w:after="0"/>
        <w:ind w:firstLine="709"/>
        <w:jc w:val="center"/>
        <w:rPr>
          <w:color w:val="000000"/>
        </w:rPr>
      </w:pPr>
      <w:r>
        <w:rPr>
          <w:rFonts w:eastAsia="Times New Roman" w:cs="Times New Roman" w:ascii="PT Astra Serif" w:hAnsi="PT Astra Serif"/>
          <w:color w:val="000000"/>
          <w:sz w:val="28"/>
          <w:szCs w:val="28"/>
          <w:lang w:eastAsia="ru-RU"/>
        </w:rPr>
        <w:t>по Приморскому краю государственного контроля в установленных сферах за 2025 года.</w:t>
      </w:r>
    </w:p>
    <w:p>
      <w:pPr>
        <w:pStyle w:val="Normal"/>
        <w:spacing w:lineRule="auto" w:line="240" w:before="0" w:after="0"/>
        <w:ind w:firstLine="709"/>
        <w:jc w:val="both"/>
        <w:rPr>
          <w:rFonts w:ascii="PT Astra Serif" w:hAnsi="PT Astra Serif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PT Astra Serif" w:hAnsi="PT Astra Serif"/>
          <w:color w:val="000000"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ind w:firstLine="709"/>
        <w:jc w:val="center"/>
        <w:rPr>
          <w:color w:val="000000"/>
        </w:rPr>
      </w:pPr>
      <w:r>
        <w:rPr>
          <w:rFonts w:eastAsia="Times New Roman" w:cs="Times New Roman" w:ascii="PT Astra Serif" w:hAnsi="PT Astra Serif"/>
          <w:b/>
          <w:color w:val="000000"/>
          <w:sz w:val="28"/>
          <w:szCs w:val="28"/>
          <w:lang w:eastAsia="ru-RU"/>
        </w:rPr>
        <w:t>Федеральный государственный контроль (надзор) за обеспечением безопасности объектов топливно-энергетического комплекса</w:t>
      </w:r>
    </w:p>
    <w:p>
      <w:pPr>
        <w:pStyle w:val="Normal"/>
        <w:spacing w:lineRule="auto" w:line="240" w:before="0" w:after="0"/>
        <w:ind w:firstLine="709"/>
        <w:jc w:val="both"/>
        <w:rPr>
          <w:rFonts w:ascii="PT Astra Serif" w:hAnsi="PT Astra Serif" w:eastAsia="Times New Roman" w:cs="Times New Roman"/>
          <w:color w:val="000000"/>
          <w:sz w:val="28"/>
          <w:szCs w:val="28"/>
          <w:lang w:eastAsia="ru-RU"/>
        </w:rPr>
      </w:pPr>
      <w:r>
        <w:rPr>
          <w:rFonts w:eastAsia="Times New Roman" w:cs="Times New Roman" w:ascii="PT Astra Serif" w:hAnsi="PT Astra Serif"/>
          <w:color w:val="000000"/>
          <w:sz w:val="28"/>
          <w:szCs w:val="28"/>
          <w:lang w:eastAsia="ru-RU"/>
        </w:rPr>
      </w:r>
    </w:p>
    <w:p>
      <w:pPr>
        <w:pStyle w:val="Normal"/>
        <w:spacing w:lineRule="auto" w:line="240" w:before="0" w:after="0"/>
        <w:ind w:firstLine="709"/>
        <w:jc w:val="both"/>
        <w:rPr>
          <w:color w:val="000000"/>
        </w:rPr>
      </w:pPr>
      <w:r>
        <w:rPr>
          <w:rFonts w:eastAsia="Times New Roman" w:cs="Times New Roman" w:ascii="PT Astra Serif" w:hAnsi="PT Astra Serif"/>
          <w:color w:val="000000"/>
          <w:sz w:val="28"/>
          <w:szCs w:val="28"/>
          <w:lang w:eastAsia="ru-RU"/>
        </w:rPr>
        <w:t xml:space="preserve">На Управление Федеральной службы войск национальной гвардии Российской Федерации по Приморскому краю (Далее - Управление), согласно статьи 2 Федерального закона от 3 июля 2016 г. № 226-ФЗ «О войсках национальной гвардии Российской Федерации» (Далее - № 226-ФЗ), возложен федеральный государственный контроль (надзор) за обеспечением безопасности объектов топливно-энергетического комплекса (Далее - ТЭК). </w:t>
      </w:r>
    </w:p>
    <w:p>
      <w:pPr>
        <w:pStyle w:val="Normal"/>
        <w:spacing w:lineRule="auto" w:line="240" w:before="0" w:after="0"/>
        <w:ind w:firstLine="709"/>
        <w:jc w:val="both"/>
        <w:rPr>
          <w:color w:val="000000"/>
        </w:rPr>
      </w:pPr>
      <w:r>
        <w:rPr>
          <w:rFonts w:eastAsia="Calibri" w:cs="Times New Roman" w:ascii="PT Astra Serif" w:hAnsi="PT Astra Serif"/>
          <w:color w:val="000000"/>
          <w:sz w:val="28"/>
          <w:szCs w:val="28"/>
        </w:rPr>
        <w:t>На территории Приморского края расположено 57 объектов топливно-энергетического комплекса, включенных в перечень объектов, подлежащих категорированию, утвержденный Председателем антитеррористической комиссии Приморского края. Всем объектам, включенным в указанный перечень, присвоена соответствующая категория опасности. По категориям опасности: высокой - нет, средней – 13, низкой – 23, в</w:t>
      </w:r>
      <w:r>
        <w:rPr>
          <w:rFonts w:eastAsia="Calibri" w:cs="Times New Roman" w:ascii="PT Astra Serif" w:hAnsi="PT Astra Serif"/>
          <w:color w:val="000000"/>
          <w:sz w:val="28"/>
          <w:szCs w:val="28"/>
          <w:lang w:eastAsia="en-US"/>
        </w:rPr>
        <w:t xml:space="preserve"> отношении 21  объекта  в настоящее время проводятся мероприятия по категорированию и разработки паспортов безопасности объекта</w:t>
      </w:r>
      <w:r>
        <w:rPr>
          <w:rFonts w:eastAsia="Calibri" w:cs="Times New Roman" w:ascii="PT Astra Serif" w:hAnsi="PT Astra Serif"/>
          <w:i/>
          <w:color w:val="000000"/>
          <w:sz w:val="22"/>
          <w:szCs w:val="22"/>
        </w:rPr>
        <w:t>.</w:t>
      </w:r>
    </w:p>
    <w:p>
      <w:pPr>
        <w:pStyle w:val="Normal"/>
        <w:spacing w:lineRule="auto" w:line="240" w:before="0" w:after="0"/>
        <w:ind w:firstLine="709"/>
        <w:jc w:val="both"/>
        <w:rPr>
          <w:color w:val="000000"/>
        </w:rPr>
      </w:pPr>
      <w:r>
        <w:rPr>
          <w:rFonts w:eastAsia="Calibri" w:cs="Times New Roman" w:ascii="PT Astra Serif" w:hAnsi="PT Astra Serif"/>
          <w:color w:val="000000"/>
          <w:sz w:val="28"/>
          <w:szCs w:val="28"/>
        </w:rPr>
        <w:t xml:space="preserve">С председателем антитеррористической комиссии Приморского края  согласован План проведения Управлением Росгвардии по Приморскому краю проверок объектов ТЭК на 2025 год (Далее - План).  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color w:val="000000"/>
        </w:rPr>
      </w:pPr>
      <w:r>
        <w:rPr>
          <w:rFonts w:eastAsia="Calibri" w:cs="PT Astra Serif" w:ascii="PT Astra Serif" w:hAnsi="PT Astra Serif"/>
          <w:color w:val="000000"/>
          <w:sz w:val="28"/>
          <w:szCs w:val="28"/>
        </w:rPr>
        <w:t>Планом предусмотрено провести в текущем году 14 плановых проверок объектов ТЭК, расположенных на территории Приморского края.</w:t>
      </w:r>
    </w:p>
    <w:p>
      <w:pPr>
        <w:pStyle w:val="Normal"/>
        <w:suppressAutoHyphens w:val="true"/>
        <w:spacing w:lineRule="auto" w:line="240" w:before="0" w:after="0"/>
        <w:ind w:left="0" w:right="0" w:firstLine="708"/>
        <w:jc w:val="both"/>
        <w:rPr/>
      </w:pPr>
      <w:r>
        <w:rPr>
          <w:rFonts w:eastAsia="Calibri" w:cs="PT Astra Serif" w:ascii="PT Astra Serif" w:hAnsi="PT Astra Serif"/>
          <w:b w:val="false"/>
          <w:bCs w:val="false"/>
          <w:color w:val="000000"/>
          <w:sz w:val="28"/>
          <w:szCs w:val="28"/>
        </w:rPr>
        <w:t xml:space="preserve">За истекший период 2025 года в </w:t>
      </w:r>
      <w:r>
        <w:rPr>
          <w:rFonts w:eastAsia="Times New Roman" w:cs="PT Astra Serif" w:ascii="PT Astra Serif" w:hAnsi="PT Astra Serif"/>
          <w:b w:val="false"/>
          <w:bCs w:val="false"/>
          <w:color w:val="000000"/>
          <w:sz w:val="28"/>
          <w:szCs w:val="28"/>
        </w:rPr>
        <w:t xml:space="preserve">целях осуществления контроля за обеспечением безопасности объектов ТЭК </w:t>
      </w:r>
      <w:r>
        <w:rPr>
          <w:rFonts w:eastAsia="Calibri" w:cs="PT Astra Serif" w:ascii="PT Astra Serif" w:hAnsi="PT Astra Serif"/>
          <w:b w:val="false"/>
          <w:bCs w:val="false"/>
          <w:color w:val="000000"/>
          <w:sz w:val="28"/>
          <w:szCs w:val="28"/>
        </w:rPr>
        <w:t xml:space="preserve">проведено </w:t>
      </w:r>
      <w:r>
        <w:rPr>
          <w:rFonts w:eastAsia="Calibri" w:cs="PT Astra Serif" w:ascii="PT Astra Serif" w:hAnsi="PT Astra Serif"/>
          <w:b/>
          <w:bCs/>
          <w:color w:val="000000"/>
          <w:kern w:val="0"/>
          <w:sz w:val="28"/>
          <w:szCs w:val="28"/>
          <w:lang w:val="ru-RU" w:eastAsia="en-US" w:bidi="ar-SA"/>
        </w:rPr>
        <w:t>14</w:t>
      </w:r>
      <w:r>
        <w:rPr>
          <w:rFonts w:eastAsia="Calibri" w:cs="PT Astra Serif" w:ascii="PT Astra Serif" w:hAnsi="PT Astra Serif"/>
          <w:b/>
          <w:bCs/>
          <w:color w:val="000000"/>
          <w:sz w:val="28"/>
          <w:szCs w:val="28"/>
        </w:rPr>
        <w:t xml:space="preserve"> плановых </w:t>
      </w:r>
      <w:r>
        <w:rPr>
          <w:rFonts w:eastAsia="Calibri" w:cs="PT Astra Serif" w:ascii="PT Astra Serif" w:hAnsi="PT Astra Serif"/>
          <w:b w:val="false"/>
          <w:bCs w:val="false"/>
          <w:color w:val="000000"/>
          <w:sz w:val="28"/>
          <w:szCs w:val="28"/>
        </w:rPr>
        <w:t xml:space="preserve">проверок и </w:t>
      </w:r>
      <w:r>
        <w:rPr>
          <w:rFonts w:eastAsia="Calibri" w:cs="PT Astra Serif" w:ascii="PT Astra Serif" w:hAnsi="PT Astra Serif"/>
          <w:b/>
          <w:bCs/>
          <w:color w:val="000000"/>
          <w:kern w:val="0"/>
          <w:sz w:val="28"/>
          <w:szCs w:val="28"/>
          <w:lang w:val="ru-RU" w:eastAsia="en-US" w:bidi="ar-SA"/>
        </w:rPr>
        <w:t>18</w:t>
      </w:r>
      <w:r>
        <w:rPr>
          <w:rFonts w:eastAsia="Calibri" w:cs="PT Astra Serif" w:ascii="PT Astra Serif" w:hAnsi="PT Astra Serif"/>
          <w:b/>
          <w:bCs/>
          <w:color w:val="000000"/>
          <w:sz w:val="28"/>
          <w:szCs w:val="28"/>
        </w:rPr>
        <w:t xml:space="preserve"> внеплановых</w:t>
      </w:r>
      <w:r>
        <w:rPr>
          <w:rFonts w:eastAsia="Calibri" w:cs="PT Astra Serif" w:ascii="PT Astra Serif" w:hAnsi="PT Astra Serif"/>
          <w:b w:val="false"/>
          <w:bCs w:val="false"/>
          <w:color w:val="000000"/>
          <w:sz w:val="28"/>
          <w:szCs w:val="28"/>
        </w:rPr>
        <w:t xml:space="preserve"> проверки с целью осуществления контроля за устранением ранее выявленных нарушений. </w:t>
      </w:r>
      <w:r>
        <w:rPr>
          <w:rFonts w:eastAsia="Times New Roman" w:cs="PT Astra Serif"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lang w:eastAsia="ru-RU"/>
        </w:rPr>
        <w:t xml:space="preserve">Составлено </w:t>
      </w:r>
      <w:r>
        <w:rPr>
          <w:rFonts w:eastAsia="Times New Roman" w:cs="PT Astra Serif" w:ascii="PT Astra Serif" w:hAnsi="PT Astra Serif"/>
          <w:b/>
          <w:bCs/>
          <w:i w:val="false"/>
          <w:iCs w:val="false"/>
          <w:color w:val="000000"/>
          <w:kern w:val="0"/>
          <w:sz w:val="28"/>
          <w:szCs w:val="28"/>
          <w:lang w:val="ru-RU" w:eastAsia="ru-RU" w:bidi="ar-SA"/>
        </w:rPr>
        <w:t>32</w:t>
      </w:r>
      <w:r>
        <w:rPr>
          <w:rFonts w:eastAsia="Times New Roman" w:cs="Times New Roman" w:ascii="PT Astra Serif" w:hAnsi="PT Astra Serif"/>
          <w:b/>
          <w:bCs/>
          <w:i w:val="false"/>
          <w:iCs w:val="false"/>
          <w:color w:val="000000"/>
          <w:kern w:val="0"/>
          <w:sz w:val="28"/>
          <w:szCs w:val="28"/>
          <w:lang w:val="ru-RU" w:eastAsia="ru-RU" w:bidi="ar-SA"/>
        </w:rPr>
        <w:t xml:space="preserve"> </w:t>
      </w:r>
      <w:r>
        <w:rPr>
          <w:rFonts w:eastAsia="Times New Roman" w:cs="PT Astra Serif" w:ascii="PT Astra Serif" w:hAnsi="PT Astra Serif"/>
          <w:b/>
          <w:bCs/>
          <w:i w:val="false"/>
          <w:iCs w:val="false"/>
          <w:color w:val="000000"/>
          <w:sz w:val="28"/>
          <w:szCs w:val="28"/>
          <w:lang w:eastAsia="ru-RU"/>
        </w:rPr>
        <w:t>акта</w:t>
      </w:r>
      <w:r>
        <w:rPr>
          <w:rFonts w:eastAsia="Times New Roman" w:cs="PT Astra Serif"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lang w:eastAsia="ru-RU"/>
        </w:rPr>
        <w:t xml:space="preserve"> проверок.</w:t>
      </w:r>
      <w:r>
        <w:rPr>
          <w:rFonts w:eastAsia="Calibri" w:cs="PT Astra Serif" w:ascii="PT Astra Serif" w:hAnsi="PT Astra Serif"/>
          <w:b w:val="false"/>
          <w:bCs w:val="false"/>
          <w:color w:val="000000"/>
          <w:sz w:val="28"/>
          <w:szCs w:val="28"/>
        </w:rPr>
        <w:t xml:space="preserve"> Внесено </w:t>
      </w:r>
      <w:r>
        <w:rPr>
          <w:rFonts w:eastAsia="Calibri" w:cs="PT Astra Serif" w:ascii="PT Astra Serif" w:hAnsi="PT Astra Serif"/>
          <w:b/>
          <w:bCs/>
          <w:color w:val="000000"/>
          <w:kern w:val="0"/>
          <w:sz w:val="28"/>
          <w:szCs w:val="28"/>
          <w:lang w:val="ru-RU" w:eastAsia="en-US" w:bidi="ar-SA"/>
        </w:rPr>
        <w:t>14</w:t>
      </w:r>
      <w:r>
        <w:rPr>
          <w:rFonts w:eastAsia="Calibri" w:cs="PT Astra Serif" w:ascii="PT Astra Serif" w:hAnsi="PT Astra Serif"/>
          <w:b/>
          <w:bCs/>
          <w:color w:val="000000"/>
          <w:sz w:val="28"/>
          <w:szCs w:val="28"/>
        </w:rPr>
        <w:t xml:space="preserve"> предписаний</w:t>
      </w:r>
      <w:r>
        <w:rPr>
          <w:rFonts w:eastAsia="Calibri" w:cs="PT Astra Serif" w:ascii="PT Astra Serif" w:hAnsi="PT Astra Serif"/>
          <w:b w:val="false"/>
          <w:bCs w:val="false"/>
          <w:color w:val="000000"/>
          <w:sz w:val="28"/>
          <w:szCs w:val="28"/>
        </w:rPr>
        <w:t xml:space="preserve"> об устранении выявленных нарушений (</w:t>
      </w:r>
      <w:r>
        <w:rPr>
          <w:rFonts w:eastAsia="Calibri" w:cs="PT Astra Serif" w:ascii="PT Astra Serif" w:hAnsi="PT Astra Serif"/>
          <w:b w:val="false"/>
          <w:bCs w:val="false"/>
          <w:color w:val="000000"/>
          <w:kern w:val="0"/>
          <w:sz w:val="28"/>
          <w:szCs w:val="28"/>
          <w:lang w:val="ru-RU" w:eastAsia="en-US" w:bidi="ar-SA"/>
        </w:rPr>
        <w:t>7</w:t>
      </w:r>
      <w:r>
        <w:rPr>
          <w:rFonts w:eastAsia="Calibri" w:cs="PT Astra Serif" w:ascii="PT Astra Serif" w:hAnsi="PT Astra Serif"/>
          <w:b w:val="false"/>
          <w:bCs w:val="false"/>
          <w:color w:val="000000"/>
          <w:sz w:val="28"/>
          <w:szCs w:val="28"/>
        </w:rPr>
        <w:t xml:space="preserve"> предписания по плановым проверкам и </w:t>
      </w:r>
      <w:r>
        <w:rPr>
          <w:rFonts w:eastAsia="Calibri" w:cs="PT Astra Serif" w:ascii="PT Astra Serif" w:hAnsi="PT Astra Serif"/>
          <w:b w:val="false"/>
          <w:bCs w:val="false"/>
          <w:color w:val="000000"/>
          <w:kern w:val="0"/>
          <w:sz w:val="28"/>
          <w:szCs w:val="28"/>
          <w:lang w:val="ru-RU" w:eastAsia="en-US" w:bidi="ar-SA"/>
        </w:rPr>
        <w:t>7</w:t>
      </w:r>
      <w:r>
        <w:rPr>
          <w:rFonts w:eastAsia="Calibri" w:cs="PT Astra Serif" w:ascii="PT Astra Serif" w:hAnsi="PT Astra Serif"/>
          <w:b w:val="false"/>
          <w:bCs w:val="false"/>
          <w:color w:val="000000"/>
          <w:sz w:val="28"/>
          <w:szCs w:val="28"/>
        </w:rPr>
        <w:t xml:space="preserve"> по внеплановым проверкам).</w:t>
      </w:r>
      <w:r>
        <w:rPr>
          <w:rFonts w:eastAsia="Calibri" w:cs="PT Astra Serif" w:ascii="PT Astra Serif" w:hAnsi="PT Astra Serif"/>
          <w:b w:val="false"/>
          <w:bCs w:val="false"/>
          <w:color w:val="C9211E"/>
          <w:sz w:val="28"/>
          <w:szCs w:val="28"/>
        </w:rPr>
        <w:t xml:space="preserve"> </w:t>
      </w:r>
    </w:p>
    <w:p>
      <w:pPr>
        <w:pStyle w:val="Normal"/>
        <w:suppressAutoHyphens w:val="true"/>
        <w:spacing w:lineRule="auto" w:line="240" w:before="0" w:after="0"/>
        <w:ind w:left="0" w:right="0" w:firstLine="708"/>
        <w:jc w:val="both"/>
        <w:rPr>
          <w:color w:val="000000"/>
        </w:rPr>
      </w:pPr>
      <w:r>
        <w:rPr>
          <w:rFonts w:eastAsia="Calibri" w:cs="PT Astra Serif" w:ascii="PT Astra Serif" w:hAnsi="PT Astra Serif"/>
          <w:b w:val="false"/>
          <w:bCs w:val="false"/>
          <w:color w:val="000000"/>
          <w:sz w:val="28"/>
          <w:szCs w:val="28"/>
        </w:rPr>
        <w:t xml:space="preserve">Всего по итогам проведенных проверок составлено </w:t>
      </w:r>
      <w:r>
        <w:rPr>
          <w:rFonts w:eastAsia="Calibri" w:cs="PT Astra Serif" w:ascii="PT Astra Serif" w:hAnsi="PT Astra Serif"/>
          <w:b/>
          <w:bCs/>
          <w:color w:val="000000"/>
          <w:kern w:val="0"/>
          <w:sz w:val="28"/>
          <w:szCs w:val="28"/>
          <w:lang w:val="ru-RU" w:eastAsia="en-US" w:bidi="ar-SA"/>
        </w:rPr>
        <w:t>36</w:t>
      </w:r>
      <w:r>
        <w:rPr>
          <w:rFonts w:eastAsia="Calibri" w:cs="PT Astra Serif" w:ascii="PT Astra Serif" w:hAnsi="PT Astra Serif"/>
          <w:b/>
          <w:bCs/>
          <w:color w:val="000000"/>
          <w:sz w:val="28"/>
          <w:szCs w:val="28"/>
        </w:rPr>
        <w:t xml:space="preserve"> протоколов</w:t>
      </w:r>
      <w:r>
        <w:rPr>
          <w:rFonts w:eastAsia="Calibri" w:cs="PT Astra Serif" w:ascii="PT Astra Serif" w:hAnsi="PT Astra Serif"/>
          <w:b w:val="false"/>
          <w:bCs w:val="false"/>
          <w:color w:val="000000"/>
          <w:sz w:val="28"/>
          <w:szCs w:val="28"/>
        </w:rPr>
        <w:t xml:space="preserve"> предусмотренных </w:t>
      </w:r>
      <w:r>
        <w:rPr>
          <w:rFonts w:eastAsia="Times New Roman" w:cs="PT Astra Serif"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u w:val="none"/>
          <w:lang w:val="ru-RU" w:eastAsia="zh-CN" w:bidi="ar-SA"/>
        </w:rPr>
        <w:t>КоАП РФ.</w:t>
      </w:r>
      <w:r>
        <w:rPr>
          <w:rFonts w:eastAsia="Calibri" w:cs="PT Astra Serif" w:ascii="PT Astra Serif" w:hAnsi="PT Astra Serif"/>
          <w:b w:val="false"/>
          <w:bCs w:val="false"/>
          <w:color w:val="000000"/>
          <w:sz w:val="28"/>
          <w:szCs w:val="28"/>
        </w:rPr>
        <w:t xml:space="preserve"> </w:t>
      </w:r>
    </w:p>
    <w:p>
      <w:pPr>
        <w:pStyle w:val="Normal"/>
        <w:suppressAutoHyphens w:val="true"/>
        <w:spacing w:lineRule="auto" w:line="240" w:before="0" w:after="0"/>
        <w:ind w:left="0" w:right="0" w:firstLine="708"/>
        <w:jc w:val="both"/>
        <w:rPr>
          <w:color w:val="000000"/>
        </w:rPr>
      </w:pPr>
      <w:r>
        <w:rPr>
          <w:rFonts w:eastAsia="Times New Roman" w:cs="PT Astra Serif" w:ascii="PT Astra Serif" w:hAnsi="PT Astra Serif"/>
          <w:b w:val="false"/>
          <w:bCs w:val="false"/>
          <w:i/>
          <w:iCs/>
          <w:color w:val="000000"/>
          <w:sz w:val="24"/>
          <w:szCs w:val="24"/>
          <w:u w:val="none"/>
          <w:lang w:val="ru-RU" w:eastAsia="zh-CN" w:bidi="ar-SA"/>
        </w:rPr>
        <w:t xml:space="preserve">По итогам проведенных плановых проверок составлено </w:t>
      </w:r>
      <w:r>
        <w:rPr>
          <w:rFonts w:eastAsia="Times New Roman" w:cs="PT Astra Serif" w:ascii="PT Astra Serif" w:hAnsi="PT Astra Serif"/>
          <w:b w:val="false"/>
          <w:bCs w:val="false"/>
          <w:i/>
          <w:iCs/>
          <w:color w:val="000000"/>
          <w:kern w:val="0"/>
          <w:sz w:val="24"/>
          <w:szCs w:val="24"/>
          <w:u w:val="none"/>
          <w:lang w:val="ru-RU" w:eastAsia="zh-CN" w:bidi="ar-SA"/>
        </w:rPr>
        <w:t>12</w:t>
      </w:r>
      <w:r>
        <w:rPr>
          <w:rFonts w:eastAsia="Times New Roman" w:cs="PT Astra Serif" w:ascii="PT Astra Serif" w:hAnsi="PT Astra Serif"/>
          <w:b/>
          <w:bCs/>
          <w:i/>
          <w:iCs/>
          <w:color w:val="000000"/>
          <w:sz w:val="24"/>
          <w:szCs w:val="24"/>
          <w:u w:val="none"/>
          <w:lang w:val="ru-RU" w:eastAsia="zh-CN" w:bidi="ar-SA"/>
        </w:rPr>
        <w:t xml:space="preserve"> </w:t>
      </w:r>
      <w:r>
        <w:rPr>
          <w:rFonts w:eastAsia="Times New Roman" w:cs="PT Astra Serif" w:ascii="PT Astra Serif" w:hAnsi="PT Astra Serif"/>
          <w:b w:val="false"/>
          <w:bCs w:val="false"/>
          <w:i/>
          <w:iCs/>
          <w:color w:val="000000"/>
          <w:sz w:val="24"/>
          <w:szCs w:val="24"/>
          <w:u w:val="none"/>
          <w:lang w:val="ru-RU" w:eastAsia="zh-CN" w:bidi="ar-SA"/>
        </w:rPr>
        <w:t xml:space="preserve">протоколов </w:t>
      </w:r>
      <w:r>
        <w:rPr>
          <w:rFonts w:eastAsia="Calibri" w:cs="PT Astra Serif" w:ascii="PT Astra Serif" w:hAnsi="PT Astra Serif"/>
          <w:b w:val="false"/>
          <w:bCs w:val="false"/>
          <w:i/>
          <w:iCs/>
          <w:color w:val="000000"/>
          <w:sz w:val="24"/>
          <w:szCs w:val="24"/>
          <w:u w:val="none"/>
          <w:lang w:val="ru-RU" w:eastAsia="en-US" w:bidi="ar-SA"/>
        </w:rPr>
        <w:t xml:space="preserve">об административном правонарушении, ответственность за которые предусмотрена по </w:t>
      </w:r>
      <w:r>
        <w:rPr>
          <w:rFonts w:eastAsia="Times New Roman" w:cs="PT Astra Serif" w:ascii="PT Astra Serif" w:hAnsi="PT Astra Serif"/>
          <w:b w:val="false"/>
          <w:bCs w:val="false"/>
          <w:i/>
          <w:iCs/>
          <w:color w:val="000000"/>
          <w:sz w:val="24"/>
          <w:szCs w:val="24"/>
          <w:u w:val="none"/>
          <w:lang w:val="ru-RU" w:eastAsia="zh-CN" w:bidi="ar-SA"/>
        </w:rPr>
        <w:t>ст.</w:t>
      </w:r>
      <w:r>
        <w:rPr>
          <w:rFonts w:eastAsia="Calibri" w:cs="PT Astra Serif" w:ascii="PT Astra Serif" w:hAnsi="PT Astra Serif"/>
          <w:b w:val="false"/>
          <w:bCs w:val="false"/>
          <w:i/>
          <w:iCs/>
          <w:color w:val="000000"/>
          <w:sz w:val="24"/>
          <w:szCs w:val="24"/>
          <w:u w:val="none"/>
          <w:lang w:val="ru-RU" w:eastAsia="en-US" w:bidi="ar-SA"/>
        </w:rPr>
        <w:t xml:space="preserve">20.30 </w:t>
      </w:r>
      <w:r>
        <w:rPr>
          <w:rFonts w:eastAsia="Times New Roman" w:cs="PT Astra Serif" w:ascii="PT Astra Serif" w:hAnsi="PT Astra Serif"/>
          <w:b w:val="false"/>
          <w:bCs w:val="false"/>
          <w:i/>
          <w:iCs/>
          <w:color w:val="000000"/>
          <w:sz w:val="24"/>
          <w:szCs w:val="24"/>
          <w:u w:val="none"/>
          <w:lang w:val="ru-RU" w:eastAsia="zh-CN" w:bidi="ar-SA"/>
        </w:rPr>
        <w:t>КоАП РФ</w:t>
      </w:r>
      <w:r>
        <w:rPr>
          <w:rFonts w:eastAsia="Calibri" w:cs="PT Astra Serif" w:ascii="PT Astra Serif" w:hAnsi="PT Astra Serif"/>
          <w:b/>
          <w:bCs/>
          <w:i/>
          <w:iCs/>
          <w:color w:val="000000"/>
          <w:sz w:val="24"/>
          <w:szCs w:val="24"/>
          <w:u w:val="none"/>
          <w:lang w:val="ru-RU" w:eastAsia="en-US" w:bidi="ar-SA"/>
        </w:rPr>
        <w:t xml:space="preserve">; </w:t>
      </w:r>
      <w:r>
        <w:rPr>
          <w:rFonts w:eastAsia="Calibri" w:cs="PT Astra Serif" w:ascii="PT Astra Serif" w:hAnsi="PT Astra Serif"/>
          <w:b w:val="false"/>
          <w:bCs w:val="false"/>
          <w:i/>
          <w:iCs/>
          <w:color w:val="000000"/>
          <w:sz w:val="24"/>
          <w:szCs w:val="24"/>
          <w:u w:val="none"/>
          <w:lang w:val="ru-RU" w:eastAsia="en-US" w:bidi="ar-SA"/>
        </w:rPr>
        <w:t xml:space="preserve">на должностных лиц — </w:t>
      </w:r>
      <w:r>
        <w:rPr>
          <w:rFonts w:eastAsia="Calibri" w:cs="PT Astra Serif" w:ascii="PT Astra Serif" w:hAnsi="PT Astra Serif"/>
          <w:b w:val="false"/>
          <w:bCs w:val="false"/>
          <w:i/>
          <w:iCs/>
          <w:color w:val="000000"/>
          <w:kern w:val="0"/>
          <w:sz w:val="24"/>
          <w:szCs w:val="24"/>
          <w:u w:val="none"/>
          <w:lang w:val="ru-RU" w:eastAsia="en-US" w:bidi="ar-SA"/>
        </w:rPr>
        <w:t>6</w:t>
      </w:r>
      <w:r>
        <w:rPr>
          <w:rFonts w:eastAsia="Calibri" w:cs="PT Astra Serif" w:ascii="PT Astra Serif" w:hAnsi="PT Astra Serif"/>
          <w:b w:val="false"/>
          <w:bCs w:val="false"/>
          <w:i/>
          <w:iCs/>
          <w:color w:val="000000"/>
          <w:sz w:val="24"/>
          <w:szCs w:val="24"/>
          <w:u w:val="none"/>
          <w:lang w:val="ru-RU" w:eastAsia="en-US" w:bidi="ar-SA"/>
        </w:rPr>
        <w:t xml:space="preserve">; на юридических лиц — </w:t>
      </w:r>
      <w:r>
        <w:rPr>
          <w:rFonts w:eastAsia="Calibri" w:cs="PT Astra Serif" w:ascii="PT Astra Serif" w:hAnsi="PT Astra Serif"/>
          <w:b w:val="false"/>
          <w:bCs w:val="false"/>
          <w:i/>
          <w:iCs/>
          <w:color w:val="000000"/>
          <w:kern w:val="0"/>
          <w:sz w:val="24"/>
          <w:szCs w:val="24"/>
          <w:u w:val="none"/>
          <w:lang w:val="ru-RU" w:eastAsia="en-US" w:bidi="ar-SA"/>
        </w:rPr>
        <w:t>6</w:t>
      </w:r>
      <w:r>
        <w:rPr>
          <w:rFonts w:eastAsia="Calibri" w:cs="PT Astra Serif" w:ascii="PT Astra Serif" w:hAnsi="PT Astra Serif"/>
          <w:b w:val="false"/>
          <w:bCs w:val="false"/>
          <w:i/>
          <w:iCs/>
          <w:color w:val="000000"/>
          <w:sz w:val="24"/>
          <w:szCs w:val="24"/>
          <w:u w:val="none"/>
          <w:lang w:val="ru-RU" w:eastAsia="en-US" w:bidi="ar-SA"/>
        </w:rPr>
        <w:t>.</w:t>
      </w:r>
    </w:p>
    <w:p>
      <w:pPr>
        <w:pStyle w:val="Normal"/>
        <w:suppressAutoHyphens w:val="true"/>
        <w:spacing w:lineRule="auto" w:line="240" w:before="0" w:after="0"/>
        <w:ind w:left="0" w:right="0" w:firstLine="708"/>
        <w:jc w:val="both"/>
        <w:rPr>
          <w:color w:val="000000"/>
        </w:rPr>
      </w:pPr>
      <w:r>
        <w:rPr>
          <w:rFonts w:eastAsia="Calibri" w:cs="PT Astra Serif" w:ascii="PT Astra Serif" w:hAnsi="PT Astra Serif"/>
          <w:i/>
          <w:iCs/>
          <w:color w:val="000000"/>
          <w:sz w:val="24"/>
          <w:szCs w:val="24"/>
        </w:rPr>
        <w:t xml:space="preserve">По итогам проведенных внеплановых проверок составлено </w:t>
      </w:r>
      <w:r>
        <w:rPr>
          <w:rFonts w:eastAsia="Calibri" w:cs="PT Astra Serif" w:ascii="PT Astra Serif" w:hAnsi="PT Astra Serif"/>
          <w:i/>
          <w:iCs/>
          <w:color w:val="000000"/>
          <w:kern w:val="0"/>
          <w:sz w:val="24"/>
          <w:szCs w:val="24"/>
          <w:lang w:val="ru-RU" w:eastAsia="en-US" w:bidi="ar-SA"/>
        </w:rPr>
        <w:t>24</w:t>
      </w:r>
      <w:r>
        <w:rPr>
          <w:rFonts w:eastAsia="Calibri" w:cs="PT Astra Serif" w:ascii="PT Astra Serif" w:hAnsi="PT Astra Serif"/>
          <w:i/>
          <w:iCs/>
          <w:color w:val="000000"/>
          <w:sz w:val="24"/>
          <w:szCs w:val="24"/>
        </w:rPr>
        <w:t xml:space="preserve"> прот</w:t>
      </w:r>
      <w:r>
        <w:rPr>
          <w:rFonts w:eastAsia="Calibri" w:cs="PT Astra Serif" w:ascii="PT Astra Serif" w:hAnsi="PT Astra Serif"/>
          <w:i/>
          <w:iCs/>
          <w:color w:val="000000"/>
          <w:sz w:val="24"/>
          <w:szCs w:val="24"/>
          <w:lang w:eastAsia="en-US"/>
        </w:rPr>
        <w:t xml:space="preserve">окола об административном правонарушении, </w:t>
      </w:r>
      <w:r>
        <w:rPr>
          <w:rFonts w:eastAsia="Calibri" w:cs="PT Astra Serif" w:ascii="PT Astra Serif" w:hAnsi="PT Astra Serif"/>
          <w:b w:val="false"/>
          <w:bCs w:val="false"/>
          <w:i/>
          <w:iCs/>
          <w:color w:val="000000"/>
          <w:sz w:val="24"/>
          <w:szCs w:val="24"/>
          <w:u w:val="none"/>
          <w:lang w:val="ru-RU" w:eastAsia="en-US" w:bidi="ar-SA"/>
        </w:rPr>
        <w:t>ответственность за которые предусмотрена по</w:t>
      </w:r>
      <w:r>
        <w:rPr>
          <w:rFonts w:eastAsia="Calibri" w:cs="PT Astra Serif" w:ascii="PT Astra Serif" w:hAnsi="PT Astra Serif"/>
          <w:i/>
          <w:iCs/>
          <w:color w:val="000000"/>
          <w:sz w:val="24"/>
          <w:szCs w:val="24"/>
          <w:lang w:eastAsia="en-US"/>
        </w:rPr>
        <w:t xml:space="preserve"> </w:t>
      </w:r>
      <w:r>
        <w:rPr>
          <w:rFonts w:eastAsia="Times New Roman" w:cs="PT Astra Serif" w:ascii="PT Astra Serif" w:hAnsi="PT Astra Serif"/>
          <w:i/>
          <w:iCs/>
          <w:color w:val="000000"/>
          <w:sz w:val="24"/>
          <w:szCs w:val="24"/>
          <w:u w:val="none"/>
          <w:lang w:val="ru-RU" w:eastAsia="zh-CN" w:bidi="ar-SA"/>
        </w:rPr>
        <w:t xml:space="preserve"> ст. </w:t>
      </w:r>
      <w:r>
        <w:rPr>
          <w:rFonts w:eastAsia="Calibri" w:cs="PT Astra Serif" w:ascii="PT Astra Serif" w:hAnsi="PT Astra Serif"/>
          <w:i/>
          <w:iCs/>
          <w:color w:val="000000"/>
          <w:sz w:val="24"/>
          <w:szCs w:val="24"/>
          <w:lang w:eastAsia="en-US"/>
        </w:rPr>
        <w:t xml:space="preserve">19.5 </w:t>
      </w:r>
      <w:r>
        <w:rPr>
          <w:rFonts w:eastAsia="Times New Roman" w:cs="PT Astra Serif" w:ascii="PT Astra Serif" w:hAnsi="PT Astra Serif"/>
          <w:i/>
          <w:iCs/>
          <w:color w:val="000000"/>
          <w:sz w:val="24"/>
          <w:szCs w:val="24"/>
          <w:u w:val="none"/>
          <w:lang w:val="ru-RU" w:eastAsia="zh-CN" w:bidi="ar-SA"/>
        </w:rPr>
        <w:t xml:space="preserve">КоАП РФ; </w:t>
      </w:r>
      <w:r>
        <w:rPr>
          <w:rFonts w:eastAsia="Calibri" w:cs="PT Astra Serif" w:ascii="PT Astra Serif" w:hAnsi="PT Astra Serif"/>
          <w:b w:val="false"/>
          <w:bCs w:val="false"/>
          <w:i/>
          <w:iCs/>
          <w:color w:val="000000"/>
          <w:sz w:val="24"/>
          <w:szCs w:val="24"/>
          <w:u w:val="none"/>
          <w:lang w:val="ru-RU" w:eastAsia="en-US" w:bidi="ar-SA"/>
        </w:rPr>
        <w:t xml:space="preserve">на должностных лиц — </w:t>
      </w:r>
      <w:r>
        <w:rPr>
          <w:rFonts w:eastAsia="Calibri" w:cs="PT Astra Serif" w:ascii="PT Astra Serif" w:hAnsi="PT Astra Serif"/>
          <w:b w:val="false"/>
          <w:bCs w:val="false"/>
          <w:i/>
          <w:iCs/>
          <w:color w:val="000000"/>
          <w:kern w:val="0"/>
          <w:sz w:val="24"/>
          <w:szCs w:val="24"/>
          <w:u w:val="none"/>
          <w:lang w:val="ru-RU" w:eastAsia="en-US" w:bidi="ar-SA"/>
        </w:rPr>
        <w:t>12</w:t>
      </w:r>
      <w:r>
        <w:rPr>
          <w:rFonts w:eastAsia="Calibri" w:cs="PT Astra Serif" w:ascii="PT Astra Serif" w:hAnsi="PT Astra Serif"/>
          <w:b w:val="false"/>
          <w:bCs w:val="false"/>
          <w:i/>
          <w:iCs/>
          <w:color w:val="000000"/>
          <w:sz w:val="24"/>
          <w:szCs w:val="24"/>
          <w:u w:val="none"/>
          <w:lang w:val="ru-RU" w:eastAsia="en-US" w:bidi="ar-SA"/>
        </w:rPr>
        <w:t xml:space="preserve">; на юридических лиц — </w:t>
      </w:r>
      <w:r>
        <w:rPr>
          <w:rFonts w:eastAsia="Calibri" w:cs="PT Astra Serif" w:ascii="PT Astra Serif" w:hAnsi="PT Astra Serif"/>
          <w:b w:val="false"/>
          <w:bCs w:val="false"/>
          <w:i/>
          <w:iCs/>
          <w:color w:val="000000"/>
          <w:kern w:val="0"/>
          <w:sz w:val="24"/>
          <w:szCs w:val="24"/>
          <w:u w:val="none"/>
          <w:lang w:val="ru-RU" w:eastAsia="en-US" w:bidi="ar-SA"/>
        </w:rPr>
        <w:t>12</w:t>
      </w:r>
      <w:r>
        <w:rPr>
          <w:rFonts w:eastAsia="Calibri" w:cs="PT Astra Serif" w:ascii="PT Astra Serif" w:hAnsi="PT Astra Serif"/>
          <w:b w:val="false"/>
          <w:bCs w:val="false"/>
          <w:i/>
          <w:iCs/>
          <w:color w:val="000000"/>
          <w:sz w:val="24"/>
          <w:szCs w:val="24"/>
          <w:u w:val="none"/>
          <w:lang w:val="ru-RU" w:eastAsia="en-US" w:bidi="ar-SA"/>
        </w:rPr>
        <w:t>.</w:t>
      </w:r>
    </w:p>
    <w:p>
      <w:pPr>
        <w:pStyle w:val="Normal"/>
        <w:suppressAutoHyphens w:val="true"/>
        <w:spacing w:lineRule="auto" w:line="240" w:before="0" w:after="0"/>
        <w:ind w:left="0" w:right="0" w:firstLine="708"/>
        <w:jc w:val="both"/>
        <w:rPr>
          <w:color w:val="000000"/>
        </w:rPr>
      </w:pPr>
      <w:r>
        <w:rPr>
          <w:rFonts w:eastAsia="Calibri" w:cs="PT Astra Serif"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lang w:eastAsia="en-US"/>
        </w:rPr>
        <w:t xml:space="preserve">По итогам плановых проверок выявлено </w:t>
      </w:r>
      <w:r>
        <w:rPr>
          <w:rFonts w:eastAsia="Calibri" w:cs="PT Astra Serif" w:ascii="PT Astra Serif" w:hAnsi="PT Astra Serif"/>
          <w:b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  <w:lang w:eastAsia="en-US"/>
        </w:rPr>
        <w:t>75</w:t>
      </w:r>
      <w:r>
        <w:rPr>
          <w:rFonts w:eastAsia="Calibri" w:cs="PT Astra Serif" w:ascii="PT Astra Serif" w:hAnsi="PT Astra Serif"/>
          <w:b/>
          <w:bCs/>
          <w:i w:val="false"/>
          <w:iCs w:val="false"/>
          <w:color w:val="000000"/>
          <w:sz w:val="28"/>
          <w:szCs w:val="28"/>
          <w:lang w:eastAsia="en-US"/>
        </w:rPr>
        <w:t xml:space="preserve"> нарушение </w:t>
      </w:r>
      <w:r>
        <w:rPr>
          <w:rFonts w:eastAsia="Calibri" w:cs="PT Astra Serif"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lang w:eastAsia="en-US"/>
        </w:rPr>
        <w:t xml:space="preserve">Требований обеспечения безопасности и антитеррористической защищенности объектов топливно-энергетического комплекса, утвержденных Постановлением Правительства Российской Федерации от 3 августа 2024 г. № 1046 (Далее - Требования). По итогам внеплановых проверок установлено неисполнение </w:t>
      </w:r>
      <w:r>
        <w:rPr>
          <w:rFonts w:eastAsia="Calibri" w:cs="PT Astra Serif" w:ascii="PT Astra Serif" w:hAnsi="PT Astra Serif"/>
          <w:b/>
          <w:bCs/>
          <w:i w:val="false"/>
          <w:iCs w:val="false"/>
          <w:color w:val="000000"/>
          <w:sz w:val="28"/>
          <w:szCs w:val="28"/>
          <w:lang w:eastAsia="en-US"/>
        </w:rPr>
        <w:t xml:space="preserve"> </w:t>
      </w:r>
      <w:r>
        <w:rPr>
          <w:rFonts w:eastAsia="Calibri" w:cs="PT Astra Serif" w:ascii="PT Astra Serif" w:hAnsi="PT Astra Serif"/>
          <w:b/>
          <w:bCs/>
          <w:i w:val="false"/>
          <w:iCs w:val="false"/>
          <w:color w:val="000000"/>
          <w:kern w:val="0"/>
          <w:sz w:val="28"/>
          <w:szCs w:val="28"/>
          <w:lang w:val="ru-RU" w:eastAsia="en-US" w:bidi="ar-SA"/>
        </w:rPr>
        <w:t>68</w:t>
      </w:r>
      <w:r>
        <w:rPr>
          <w:rFonts w:eastAsia="Calibri" w:cs="PT Astra Serif" w:ascii="PT Astra Serif" w:hAnsi="PT Astra Serif"/>
          <w:b/>
          <w:bCs/>
          <w:i w:val="false"/>
          <w:iCs w:val="false"/>
          <w:color w:val="000000"/>
          <w:sz w:val="28"/>
          <w:szCs w:val="28"/>
          <w:lang w:eastAsia="en-US"/>
        </w:rPr>
        <w:t xml:space="preserve"> пунктов</w:t>
      </w:r>
      <w:r>
        <w:rPr>
          <w:rFonts w:eastAsia="Calibri" w:cs="PT Astra Serif"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lang w:eastAsia="en-US"/>
        </w:rPr>
        <w:t xml:space="preserve"> </w:t>
      </w:r>
      <w:r>
        <w:rPr>
          <w:rFonts w:eastAsia="Calibri" w:cs="PT Astra Serif" w:ascii="PT Astra Serif" w:hAnsi="PT Astra Serif"/>
          <w:b w:val="false"/>
          <w:bCs w:val="false"/>
          <w:i w:val="false"/>
          <w:iCs w:val="false"/>
          <w:color w:val="000000"/>
          <w:kern w:val="0"/>
          <w:sz w:val="28"/>
          <w:szCs w:val="28"/>
          <w:lang w:val="ru-RU" w:eastAsia="en-US" w:bidi="ar-SA"/>
        </w:rPr>
        <w:t>12</w:t>
      </w:r>
      <w:r>
        <w:rPr>
          <w:rFonts w:eastAsia="Calibri" w:cs="PT Astra Serif"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lang w:eastAsia="en-US"/>
        </w:rPr>
        <w:t xml:space="preserve"> предписаний, выданных ранее по итогам плановых и внеплановых проверок.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color w:val="000000"/>
        </w:rPr>
      </w:pPr>
      <w:r>
        <w:rPr>
          <w:rFonts w:eastAsia="Calibri" w:cs="PT Astra Serif" w:ascii="PT Astra Serif" w:hAnsi="PT Astra Serif"/>
          <w:color w:val="000000"/>
          <w:sz w:val="28"/>
          <w:szCs w:val="28"/>
        </w:rPr>
        <w:t xml:space="preserve">Сотрудниками ОГК принято участие в работе 31 комиссии по категорированию объектов ТЭК и 11 комиссиях по актуализации паспортов безопасности, актуализировано 5 паспортов безопасности, 6 паспортов находятся на согласовании АТК Приморского края.   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color w:val="000000"/>
        </w:rPr>
      </w:pPr>
      <w:r>
        <w:rPr>
          <w:rFonts w:eastAsia="Calibri" w:cs="PT Astra Serif" w:ascii="PT Astra Serif" w:hAnsi="PT Astra Serif"/>
          <w:color w:val="000000"/>
          <w:sz w:val="28"/>
          <w:szCs w:val="28"/>
        </w:rPr>
        <w:t xml:space="preserve">В рамках профилактических мероприятий сотрудниками ОГК проведено 18 консультирований субъектов ТЭК по вопросам обеспечения безопасности и антитеррористической защищенности объектов ТЭК,  осуществлению федерального государственного контроля за обеспечением безопасности объектов; объявлено 2 предостережения о недопустимости нарушения обязательных требований; информация о проведенных контрольных мероприятиях и их результатах размещена на официальном сайте территориального органа в сети «Интернет». 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color w:val="000000"/>
        </w:rPr>
      </w:pPr>
      <w:r>
        <w:rPr>
          <w:rFonts w:eastAsia="Calibri" w:cs="PT Astra Serif" w:ascii="PT Astra Serif" w:hAnsi="PT Astra Serif"/>
          <w:color w:val="000000"/>
          <w:sz w:val="28"/>
          <w:szCs w:val="28"/>
        </w:rPr>
        <w:t xml:space="preserve">Посягательств, в том числе с использованием беспилотных аппаратов, на объекты топливно-энергетического не зарегистрировано. 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color w:val="C9211E"/>
        </w:rPr>
      </w:pPr>
      <w:r>
        <w:rPr>
          <w:rFonts w:eastAsia="Calibri" w:cs="PT Astra Serif" w:ascii="PT Astra Serif" w:hAnsi="PT Astra Serif"/>
          <w:color w:val="C9211E"/>
          <w:sz w:val="28"/>
          <w:szCs w:val="28"/>
        </w:rPr>
        <w:tab/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color w:val="000000"/>
        </w:rPr>
      </w:pPr>
      <w:r>
        <w:rPr>
          <w:rFonts w:eastAsia="Calibri" w:cs="PT Astra Serif" w:ascii="PT Astra Serif" w:hAnsi="PT Astra Serif"/>
          <w:b/>
          <w:bCs/>
          <w:color w:val="000000"/>
          <w:sz w:val="28"/>
          <w:szCs w:val="28"/>
        </w:rPr>
        <w:t xml:space="preserve">Федеральный государственный контроль за деятельностью подразделений ведомственной охраны и подразделений охраны юридических лиц с особыми уставными задачами. 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rFonts w:ascii="PT Astra Serif" w:hAnsi="PT Astra Serif" w:eastAsia="Calibri" w:cs="PT Astra Serif"/>
          <w:color w:val="000000"/>
          <w:sz w:val="28"/>
          <w:szCs w:val="28"/>
        </w:rPr>
      </w:pPr>
      <w:r>
        <w:rPr>
          <w:rFonts w:eastAsia="Calibri" w:cs="PT Astra Serif" w:ascii="PT Astra Serif" w:hAnsi="PT Astra Serif"/>
          <w:color w:val="000000"/>
          <w:sz w:val="28"/>
          <w:szCs w:val="28"/>
        </w:rPr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color w:val="000000"/>
        </w:rPr>
      </w:pPr>
      <w:r>
        <w:rPr>
          <w:rFonts w:eastAsia="Calibri" w:cs="PT Astra Serif" w:ascii="PT Astra Serif" w:hAnsi="PT Astra Serif"/>
          <w:color w:val="000000"/>
          <w:sz w:val="28"/>
          <w:szCs w:val="28"/>
        </w:rPr>
        <w:t>Планом проведения Управлением Росгвардии по Приморскому краю плановых проверок юридических лиц с особыми уставными задачами                 и подразделений ведомственной охраны на 2025 год предусмотрено проведение 5 проверок юридических лиц осуществляющих охранную деятельность на территории Приморского края.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color w:val="000000"/>
        </w:rPr>
      </w:pPr>
      <w:r>
        <w:rPr>
          <w:rFonts w:eastAsia="Calibri" w:cs="PT Astra Serif" w:ascii="PT Astra Serif" w:hAnsi="PT Astra Serif"/>
          <w:color w:val="000000"/>
          <w:sz w:val="28"/>
          <w:szCs w:val="28"/>
        </w:rPr>
        <w:t xml:space="preserve">За истекший период в рамках осуществления федерального государственного контроля проверки юридических лиц с особыми уставными задачами и подразделений ведомственной охраны проведены </w:t>
      </w:r>
      <w:r>
        <w:rPr>
          <w:rFonts w:eastAsia="Calibri" w:cs="PT Astra Serif" w:ascii="PT Astra Serif" w:hAnsi="PT Astra Serif"/>
          <w:color w:val="000000"/>
          <w:kern w:val="0"/>
          <w:sz w:val="28"/>
          <w:szCs w:val="28"/>
          <w:lang w:val="ru-RU" w:eastAsia="en-US" w:bidi="ar-SA"/>
        </w:rPr>
        <w:t>5</w:t>
      </w:r>
      <w:r>
        <w:rPr>
          <w:rFonts w:eastAsia="Calibri" w:cs="PT Astra Serif" w:ascii="PT Astra Serif" w:hAnsi="PT Astra Serif"/>
          <w:color w:val="000000"/>
          <w:sz w:val="28"/>
          <w:szCs w:val="28"/>
        </w:rPr>
        <w:t xml:space="preserve"> плановых проверок: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color w:val="000000"/>
        </w:rPr>
      </w:pPr>
      <w:r>
        <w:rPr>
          <w:rFonts w:eastAsia="Calibri" w:cs="PT Astra Serif" w:ascii="PT Astra Serif" w:hAnsi="PT Astra Serif"/>
          <w:i/>
          <w:iCs/>
          <w:color w:val="000000"/>
          <w:sz w:val="24"/>
          <w:szCs w:val="24"/>
        </w:rPr>
        <w:t>1. Филиал ФГУП «Охрана» ГЦСС — Управление специальной связи по Приморскому краю.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color w:val="000000"/>
        </w:rPr>
      </w:pPr>
      <w:r>
        <w:rPr>
          <w:rFonts w:eastAsia="Calibri" w:cs="PT Astra Serif" w:ascii="PT Astra Serif" w:hAnsi="PT Astra Serif"/>
          <w:i/>
          <w:iCs/>
          <w:color w:val="000000"/>
          <w:sz w:val="24"/>
          <w:szCs w:val="24"/>
        </w:rPr>
        <w:t xml:space="preserve">В результате проведения плановой проверки выявлено 13 нарушений. 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color w:val="000000"/>
        </w:rPr>
      </w:pPr>
      <w:r>
        <w:rPr>
          <w:rFonts w:eastAsia="Calibri" w:cs="PT Astra Serif" w:ascii="PT Astra Serif" w:hAnsi="PT Astra Serif"/>
          <w:i/>
          <w:iCs/>
          <w:color w:val="000000"/>
          <w:sz w:val="24"/>
          <w:szCs w:val="24"/>
        </w:rPr>
        <w:t>В отношении 3 должностных лиц Филиала составлены протоколы об административном правонарушении предусмотренные частью 1 статьи 20.8 КоАП РФ.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color w:val="000000"/>
        </w:rPr>
      </w:pPr>
      <w:r>
        <w:rPr>
          <w:rFonts w:eastAsia="Calibri" w:cs="PT Astra Serif" w:ascii="PT Astra Serif" w:hAnsi="PT Astra Serif"/>
          <w:i/>
          <w:iCs/>
          <w:color w:val="000000"/>
          <w:sz w:val="24"/>
          <w:szCs w:val="24"/>
        </w:rPr>
        <w:t>В отношении юридического лица — ФГУП « Главный центр специальной связи» составлен протокол об административном правонарушении предусмотренные частью 1 статьи 20.8 КоАП РФ.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color w:val="000000"/>
        </w:rPr>
      </w:pPr>
      <w:r>
        <w:rPr>
          <w:rFonts w:eastAsia="Calibri" w:cs="PT Astra Serif" w:ascii="PT Astra Serif" w:hAnsi="PT Astra Serif"/>
          <w:i/>
          <w:iCs/>
          <w:color w:val="000000"/>
          <w:sz w:val="24"/>
          <w:szCs w:val="24"/>
        </w:rPr>
        <w:t>2. Филиал — 23 отряд Федерального казенное учреждение «Государственное учреждение «Ведомственная охрана Министерства Финансов Российской Федерации».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color w:val="000000"/>
        </w:rPr>
      </w:pPr>
      <w:r>
        <w:rPr>
          <w:rFonts w:eastAsia="Calibri" w:cs="PT Astra Serif" w:ascii="PT Astra Serif" w:hAnsi="PT Astra Serif"/>
          <w:i/>
          <w:iCs/>
          <w:color w:val="000000"/>
          <w:sz w:val="24"/>
          <w:szCs w:val="24"/>
        </w:rPr>
        <w:t xml:space="preserve">В результате проведения плановой проверки выявлено 5 нарушений. 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color w:val="000000"/>
        </w:rPr>
      </w:pPr>
      <w:r>
        <w:rPr>
          <w:rFonts w:eastAsia="Calibri" w:cs="PT Astra Serif" w:ascii="PT Astra Serif" w:hAnsi="PT Astra Serif"/>
          <w:i/>
          <w:iCs/>
          <w:color w:val="000000"/>
          <w:sz w:val="24"/>
          <w:szCs w:val="24"/>
        </w:rPr>
        <w:t>3. Управление по Дальневосточному федеральному округу Центра охраны объектов промышленности (филиал) ФГУП «Охрана» Росгвардии.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color w:val="000000"/>
        </w:rPr>
      </w:pPr>
      <w:r>
        <w:rPr>
          <w:rFonts w:eastAsia="Calibri" w:cs="PT Astra Serif" w:ascii="PT Astra Serif" w:hAnsi="PT Astra Serif"/>
          <w:i/>
          <w:iCs/>
          <w:color w:val="000000"/>
          <w:sz w:val="24"/>
          <w:szCs w:val="24"/>
        </w:rPr>
        <w:t xml:space="preserve">В результате проведения плановой проверки выявлено 11 нарушений. 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color w:val="000000"/>
        </w:rPr>
      </w:pPr>
      <w:r>
        <w:rPr>
          <w:rFonts w:eastAsia="Calibri" w:cs="PT Astra Serif" w:ascii="PT Astra Serif" w:hAnsi="PT Astra Serif"/>
          <w:i/>
          <w:iCs/>
          <w:color w:val="000000"/>
          <w:sz w:val="24"/>
          <w:szCs w:val="24"/>
        </w:rPr>
        <w:t>В отношении 2 должностных лиц Филиала составлены протоколы об административном правонарушении предусмотренные частью 6 статьи 20.8 КоАП РФ.</w:t>
      </w:r>
    </w:p>
    <w:p>
      <w:pPr>
        <w:pStyle w:val="Normal"/>
        <w:widowControl/>
        <w:suppressAutoHyphens w:val="true"/>
        <w:bidi w:val="0"/>
        <w:spacing w:lineRule="auto" w:line="240" w:before="0" w:after="200"/>
        <w:ind w:left="0" w:right="0" w:firstLine="680"/>
        <w:contextualSpacing/>
        <w:jc w:val="both"/>
        <w:rPr>
          <w:i/>
          <w:i/>
          <w:iCs/>
          <w:sz w:val="24"/>
          <w:szCs w:val="24"/>
        </w:rPr>
      </w:pPr>
      <w:r>
        <w:rPr>
          <w:rFonts w:eastAsia="Calibri" w:cs="PT Astra Serif" w:ascii="PT Astra Serif" w:hAnsi="PT Astra Serif"/>
          <w:b w:val="false"/>
          <w:bCs w:val="false"/>
          <w:i/>
          <w:iCs/>
          <w:color w:val="auto"/>
          <w:sz w:val="24"/>
          <w:szCs w:val="24"/>
          <w:lang w:eastAsia="ru-RU"/>
        </w:rPr>
        <w:t>4. Дальневосточное Главное региональное управление - филиал объединения «Росинкас».</w:t>
      </w:r>
    </w:p>
    <w:p>
      <w:pPr>
        <w:pStyle w:val="Normal"/>
        <w:widowControl/>
        <w:suppressAutoHyphens w:val="true"/>
        <w:bidi w:val="0"/>
        <w:spacing w:lineRule="auto" w:line="240" w:before="0" w:after="200"/>
        <w:ind w:left="0" w:right="0" w:firstLine="680"/>
        <w:contextualSpacing/>
        <w:jc w:val="both"/>
        <w:rPr>
          <w:i/>
          <w:i/>
          <w:iCs/>
          <w:sz w:val="24"/>
          <w:szCs w:val="24"/>
        </w:rPr>
      </w:pPr>
      <w:r>
        <w:rPr>
          <w:rFonts w:eastAsia="Calibri" w:cs="PT Astra Serif" w:ascii="PT Astra Serif" w:hAnsi="PT Astra Serif"/>
          <w:b w:val="false"/>
          <w:bCs w:val="false"/>
          <w:i/>
          <w:iCs/>
          <w:color w:val="auto"/>
          <w:sz w:val="24"/>
          <w:szCs w:val="24"/>
          <w:lang w:eastAsia="ru-RU"/>
        </w:rPr>
        <w:t xml:space="preserve">В результате проведения плановой проверки выявлено 4 нарушения. </w:t>
      </w:r>
    </w:p>
    <w:p>
      <w:pPr>
        <w:pStyle w:val="Normal"/>
        <w:widowControl/>
        <w:suppressAutoHyphens w:val="true"/>
        <w:bidi w:val="0"/>
        <w:spacing w:lineRule="auto" w:line="240" w:before="0" w:after="200"/>
        <w:ind w:left="0" w:right="0" w:firstLine="680"/>
        <w:contextualSpacing/>
        <w:jc w:val="both"/>
        <w:rPr>
          <w:i/>
          <w:i/>
          <w:iCs/>
          <w:sz w:val="24"/>
          <w:szCs w:val="24"/>
        </w:rPr>
      </w:pPr>
      <w:r>
        <w:rPr>
          <w:rFonts w:eastAsia="Calibri" w:cs="PT Astra Serif" w:ascii="PT Astra Serif" w:hAnsi="PT Astra Serif"/>
          <w:b w:val="false"/>
          <w:bCs w:val="false"/>
          <w:i/>
          <w:iCs/>
          <w:color w:val="auto"/>
          <w:sz w:val="24"/>
          <w:szCs w:val="24"/>
          <w:lang w:eastAsia="ru-RU"/>
        </w:rPr>
        <w:t xml:space="preserve">В отношении 5 должностных лиц Филиала составлены протоколы об административном правонарушении предусмотренные частью 1 статьи </w:t>
      </w:r>
      <w:r>
        <w:rPr>
          <w:rFonts w:eastAsia="Calibri" w:cs="Times New Roman" w:ascii="PT Astra Serif" w:hAnsi="PT Astra Serif"/>
          <w:b w:val="false"/>
          <w:bCs w:val="false"/>
          <w:i/>
          <w:iCs/>
          <w:color w:val="auto"/>
          <w:sz w:val="24"/>
          <w:szCs w:val="24"/>
          <w:lang w:eastAsia="en-US"/>
        </w:rPr>
        <w:t>20.8 КоАП РФ.</w:t>
      </w:r>
    </w:p>
    <w:p>
      <w:pPr>
        <w:pStyle w:val="Normal"/>
        <w:widowControl/>
        <w:suppressAutoHyphens w:val="true"/>
        <w:bidi w:val="0"/>
        <w:spacing w:lineRule="auto" w:line="240" w:before="0" w:after="200"/>
        <w:ind w:left="0" w:right="0" w:firstLine="680"/>
        <w:contextualSpacing/>
        <w:jc w:val="both"/>
        <w:rPr>
          <w:i/>
          <w:i/>
          <w:iCs/>
          <w:color w:val="C9211E"/>
          <w:sz w:val="24"/>
          <w:szCs w:val="24"/>
        </w:rPr>
      </w:pPr>
      <w:r>
        <w:rPr>
          <w:rFonts w:eastAsia="Calibri" w:cs="Times New Roman" w:ascii="PT Astra Serif" w:hAnsi="PT Astra Serif"/>
          <w:i/>
          <w:iCs/>
          <w:color w:val="auto"/>
          <w:sz w:val="24"/>
          <w:szCs w:val="24"/>
          <w:lang w:eastAsia="en-US"/>
        </w:rPr>
        <w:t xml:space="preserve">5. </w:t>
      </w:r>
      <w:r>
        <w:rPr>
          <w:rFonts w:eastAsia="Times New Roman" w:cs="PT Astra Serif" w:ascii="PT Astra Serif" w:hAnsi="PT Astra Serif"/>
          <w:b w:val="false"/>
          <w:i/>
          <w:iCs/>
          <w:strike w:val="false"/>
          <w:dstrike w:val="false"/>
          <w:outline w:val="false"/>
          <w:shadow w:val="false"/>
          <w:color w:val="000000"/>
          <w:kern w:val="0"/>
          <w:sz w:val="24"/>
          <w:szCs w:val="24"/>
          <w:u w:val="none"/>
          <w:em w:val="none"/>
          <w:lang w:val="ru-RU" w:eastAsia="ru-RU" w:bidi="ar-SA"/>
        </w:rPr>
        <w:t>Владивостокский отряд ведомственной охраны – структурное подразделение филиала – федерального государственного предприятия «Ведомственная охрана железнодорожного транспорта Российской Федерации» на Дальневосточной железной дороге».</w:t>
      </w:r>
    </w:p>
    <w:p>
      <w:pPr>
        <w:pStyle w:val="Normal"/>
        <w:widowControl/>
        <w:suppressAutoHyphens w:val="true"/>
        <w:bidi w:val="0"/>
        <w:spacing w:lineRule="auto" w:line="240" w:before="0" w:after="200"/>
        <w:ind w:left="0" w:right="0" w:firstLine="680"/>
        <w:contextualSpacing/>
        <w:jc w:val="both"/>
        <w:rPr>
          <w:i/>
          <w:i/>
          <w:iCs/>
          <w:color w:val="C9211E"/>
          <w:sz w:val="24"/>
          <w:szCs w:val="24"/>
        </w:rPr>
      </w:pPr>
      <w:r>
        <w:rPr>
          <w:rFonts w:eastAsia="Calibri" w:cs="PT Astra Serif" w:ascii="PT Astra Serif" w:hAnsi="PT Astra Serif"/>
          <w:b w:val="false"/>
          <w:bCs w:val="false"/>
          <w:i/>
          <w:iCs/>
          <w:strike w:val="false"/>
          <w:dstrike w:val="false"/>
          <w:outline w:val="false"/>
          <w:shadow w:val="false"/>
          <w:color w:val="auto"/>
          <w:kern w:val="0"/>
          <w:sz w:val="24"/>
          <w:szCs w:val="24"/>
          <w:u w:val="none"/>
          <w:em w:val="none"/>
          <w:lang w:val="ru-RU" w:eastAsia="ru-RU" w:bidi="ar-SA"/>
        </w:rPr>
        <w:t xml:space="preserve">В результате проведения плановой проверки выявлено 12 нарушений. </w:t>
      </w:r>
    </w:p>
    <w:p>
      <w:pPr>
        <w:pStyle w:val="Normal"/>
        <w:widowControl/>
        <w:suppressAutoHyphens w:val="true"/>
        <w:bidi w:val="0"/>
        <w:spacing w:lineRule="auto" w:line="240" w:before="0" w:after="200"/>
        <w:ind w:left="0" w:right="0" w:firstLine="680"/>
        <w:contextualSpacing/>
        <w:jc w:val="both"/>
        <w:rPr>
          <w:i/>
          <w:i/>
          <w:iCs/>
          <w:color w:val="C9211E"/>
          <w:sz w:val="24"/>
          <w:szCs w:val="24"/>
        </w:rPr>
      </w:pPr>
      <w:r>
        <w:rPr>
          <w:rFonts w:eastAsia="Calibri" w:cs="PT Astra Serif" w:ascii="PT Astra Serif" w:hAnsi="PT Astra Serif"/>
          <w:i/>
          <w:iCs/>
          <w:color w:val="000000"/>
          <w:kern w:val="0"/>
          <w:sz w:val="24"/>
          <w:szCs w:val="24"/>
          <w:lang w:val="ru-RU" w:eastAsia="en-US" w:bidi="ar-SA"/>
        </w:rPr>
        <w:t>В отношении 3 должностных лиц Отряда составлены протоколы об административном правонарушении предусмотренные частью 6 статьи 20.8 Кодекса Российской Федерации об административных правонарушениях.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color w:val="000000"/>
        </w:rPr>
      </w:pPr>
      <w:r>
        <w:rPr>
          <w:rFonts w:eastAsia="Calibri" w:cs="PT Astra Serif" w:ascii="PT Astra Serif" w:hAnsi="PT Astra Serif"/>
          <w:color w:val="000000"/>
          <w:sz w:val="28"/>
          <w:szCs w:val="28"/>
        </w:rPr>
        <w:t xml:space="preserve">Общее количество выявленных нарушений обязательных требований - </w:t>
      </w:r>
      <w:r>
        <w:rPr>
          <w:rFonts w:eastAsia="Calibri" w:cs="PT Astra Serif" w:ascii="PT Astra Serif" w:hAnsi="PT Astra Serif"/>
          <w:color w:val="000000"/>
          <w:kern w:val="0"/>
          <w:sz w:val="28"/>
          <w:szCs w:val="28"/>
          <w:lang w:val="ru-RU" w:eastAsia="en-US" w:bidi="ar-SA"/>
        </w:rPr>
        <w:t>45</w:t>
      </w:r>
      <w:r>
        <w:rPr>
          <w:rFonts w:eastAsia="Calibri" w:cs="PT Astra Serif" w:ascii="PT Astra Serif" w:hAnsi="PT Astra Serif"/>
          <w:color w:val="000000"/>
          <w:sz w:val="28"/>
          <w:szCs w:val="28"/>
        </w:rPr>
        <w:t xml:space="preserve">, в том числе: предъявляемых к юридическим лицам с особыми уставными задачами — </w:t>
      </w:r>
      <w:r>
        <w:rPr>
          <w:rFonts w:eastAsia="Calibri" w:cs="PT Astra Serif" w:ascii="PT Astra Serif" w:hAnsi="PT Astra Serif"/>
          <w:color w:val="000000"/>
          <w:kern w:val="0"/>
          <w:sz w:val="28"/>
          <w:szCs w:val="28"/>
          <w:lang w:val="ru-RU" w:eastAsia="en-US" w:bidi="ar-SA"/>
        </w:rPr>
        <w:t>28;</w:t>
      </w:r>
      <w:r>
        <w:rPr>
          <w:rFonts w:eastAsia="Calibri" w:cs="PT Astra Serif" w:ascii="PT Astra Serif" w:hAnsi="PT Astra Serif"/>
          <w:color w:val="000000"/>
          <w:sz w:val="28"/>
          <w:szCs w:val="28"/>
        </w:rPr>
        <w:t xml:space="preserve">  предъявляемых к ведомственной охране — </w:t>
      </w:r>
      <w:r>
        <w:rPr>
          <w:rFonts w:eastAsia="Calibri" w:cs="PT Astra Serif" w:ascii="PT Astra Serif" w:hAnsi="PT Astra Serif"/>
          <w:color w:val="000000"/>
          <w:kern w:val="0"/>
          <w:sz w:val="28"/>
          <w:szCs w:val="28"/>
          <w:lang w:val="ru-RU" w:eastAsia="en-US" w:bidi="ar-SA"/>
        </w:rPr>
        <w:t>17</w:t>
      </w:r>
      <w:r>
        <w:rPr>
          <w:rFonts w:eastAsia="Calibri" w:cs="PT Astra Serif" w:ascii="PT Astra Serif" w:hAnsi="PT Astra Serif"/>
          <w:color w:val="000000"/>
          <w:sz w:val="28"/>
          <w:szCs w:val="28"/>
        </w:rPr>
        <w:t>.</w:t>
      </w:r>
    </w:p>
    <w:p>
      <w:pPr>
        <w:pStyle w:val="Normal"/>
        <w:suppressAutoHyphens w:val="true"/>
        <w:spacing w:lineRule="auto" w:line="240" w:before="0" w:after="0"/>
        <w:ind w:left="0" w:right="0" w:firstLine="709"/>
        <w:jc w:val="both"/>
        <w:rPr>
          <w:color w:val="000000"/>
        </w:rPr>
      </w:pPr>
      <w:r>
        <w:rPr>
          <w:rFonts w:eastAsia="Calibri" w:cs="Times New Roman"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lang w:eastAsia="ru-RU"/>
        </w:rPr>
        <w:t xml:space="preserve">За истекший период 2025 года руководителям подразделений ведомственной охраны и подразделений охраны юридических лиц с особыми уставными задачами выдано </w:t>
      </w:r>
      <w:r>
        <w:rPr>
          <w:rFonts w:eastAsia="Calibri" w:cs="Times New Roman" w:ascii="PT Astra Serif" w:hAnsi="PT Astra Serif"/>
          <w:b/>
          <w:bCs/>
          <w:i w:val="false"/>
          <w:iCs w:val="false"/>
          <w:color w:val="000000"/>
          <w:sz w:val="28"/>
          <w:szCs w:val="28"/>
          <w:lang w:eastAsia="ru-RU"/>
        </w:rPr>
        <w:t>3 предостережения</w:t>
      </w:r>
      <w:r>
        <w:rPr>
          <w:rFonts w:eastAsia="Calibri" w:cs="Times New Roman" w:ascii="PT Astra Serif" w:hAnsi="PT Astra Serif"/>
          <w:b w:val="false"/>
          <w:bCs w:val="false"/>
          <w:i w:val="false"/>
          <w:iCs w:val="false"/>
          <w:color w:val="000000"/>
          <w:sz w:val="28"/>
          <w:szCs w:val="28"/>
          <w:lang w:eastAsia="ru-RU"/>
        </w:rPr>
        <w:t xml:space="preserve"> о недопустимости нарушений обязательных требований законодательных актов РФ.</w:t>
      </w:r>
    </w:p>
    <w:p>
      <w:pPr>
        <w:pStyle w:val="Normal"/>
        <w:spacing w:lineRule="auto" w:line="240" w:before="0" w:after="0"/>
        <w:ind w:firstLine="709"/>
        <w:jc w:val="both"/>
        <w:rPr>
          <w:color w:val="000000"/>
        </w:rPr>
      </w:pPr>
      <w:r>
        <w:rPr/>
      </w:r>
    </w:p>
    <w:sectPr>
      <w:type w:val="nextPage"/>
      <w:pgSz w:w="11906" w:h="16838"/>
      <w:pgMar w:left="1701" w:right="991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imes New Roman">
    <w:charset w:val="01"/>
    <w:family w:val="swiss"/>
    <w:pitch w:val="default"/>
  </w:font>
  <w:font w:name="PT Astra Serif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1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сноски Знак"/>
    <w:basedOn w:val="DefaultParagraphFont"/>
    <w:link w:val="a3"/>
    <w:uiPriority w:val="99"/>
    <w:qFormat/>
    <w:rsid w:val="00542338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5">
    <w:name w:val="Привязка сноски"/>
    <w:rPr>
      <w:vertAlign w:val="superscript"/>
    </w:rPr>
  </w:style>
  <w:style w:type="character" w:styleId="FootnoteCharacters">
    <w:name w:val="Footnote Characters"/>
    <w:uiPriority w:val="99"/>
    <w:qFormat/>
    <w:rsid w:val="00542338"/>
    <w:rPr>
      <w:vertAlign w:val="superscript"/>
    </w:rPr>
  </w:style>
  <w:style w:type="character" w:styleId="Style16">
    <w:name w:val="Символ сноски"/>
    <w:qFormat/>
    <w:rPr/>
  </w:style>
  <w:style w:type="character" w:styleId="Style17">
    <w:name w:val="Привязка концевой сноски"/>
    <w:rPr>
      <w:vertAlign w:val="superscript"/>
    </w:rPr>
  </w:style>
  <w:style w:type="character" w:styleId="Style18">
    <w:name w:val="Символ концевой сноски"/>
    <w:qFormat/>
    <w:rPr/>
  </w:style>
  <w:style w:type="paragraph" w:styleId="Style19">
    <w:name w:val="Заголовок"/>
    <w:basedOn w:val="Normal"/>
    <w:next w:val="Style20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20">
    <w:name w:val="Body Text"/>
    <w:basedOn w:val="Normal"/>
    <w:pPr>
      <w:spacing w:lineRule="auto" w:line="276" w:before="0" w:after="140"/>
    </w:pPr>
    <w:rPr/>
  </w:style>
  <w:style w:type="paragraph" w:styleId="Style21">
    <w:name w:val="List"/>
    <w:basedOn w:val="Style20"/>
    <w:pPr/>
    <w:rPr>
      <w:rFonts w:ascii="PT Astra Serif" w:hAnsi="PT Astra Serif" w:cs="Noto Sans Devanagari"/>
    </w:rPr>
  </w:style>
  <w:style w:type="paragraph" w:styleId="Style22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3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24">
    <w:name w:val="Footnote Text"/>
    <w:basedOn w:val="Normal"/>
    <w:link w:val="a4"/>
    <w:uiPriority w:val="99"/>
    <w:rsid w:val="00542338"/>
    <w:pPr>
      <w:spacing w:lineRule="auto" w:line="240" w:before="0" w:after="0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367</TotalTime>
  <Application>LibreOffice/6.4.7.2$Linux_X86_64 LibreOffice_project/155c490457025f32143219b3c36f6c1abf1f2442</Application>
  <Pages>3</Pages>
  <Words>775</Words>
  <Characters>5768</Characters>
  <CharactersWithSpaces>6561</CharactersWithSpaces>
  <Paragraphs>37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2019-06-18T06:11:00Z</dcterms:created>
  <dc:creator>User</dc:creator>
  <dc:description/>
  <dc:language>ru-RU</dc:language>
  <cp:lastModifiedBy/>
  <dcterms:modified xsi:type="dcterms:W3CDTF">2025-12-18T17:09:15Z</dcterms:modified>
  <cp:revision>22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