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center"/>
        <w:rPr>
          <w:rFonts w:ascii="PT Astra Serif" w:hAnsi="PT Astra Serif"/>
          <w:sz w:val="28"/>
          <w:szCs w:val="28"/>
        </w:rPr>
      </w:pPr>
      <w:r>
        <w:rPr>
          <w:rFonts w:eastAsia="Times New Roman" w:cs="Times New Roman" w:ascii="PT Astra Serif" w:hAnsi="PT Astra Serif"/>
          <w:b/>
          <w:sz w:val="28"/>
          <w:szCs w:val="28"/>
          <w:lang w:eastAsia="ru-RU"/>
        </w:rPr>
        <w:t>АНАЛИЗ</w:t>
      </w:r>
    </w:p>
    <w:p>
      <w:pPr>
        <w:pStyle w:val="Normal"/>
        <w:spacing w:lineRule="auto" w:line="240" w:before="0" w:after="0"/>
        <w:ind w:firstLine="709"/>
        <w:jc w:val="center"/>
        <w:rPr>
          <w:rFonts w:ascii="PT Astra Serif" w:hAnsi="PT Astra Serif"/>
          <w:sz w:val="28"/>
          <w:szCs w:val="28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 xml:space="preserve">практики осуществления Управлением Росгвардии </w:t>
      </w:r>
    </w:p>
    <w:p>
      <w:pPr>
        <w:pStyle w:val="Normal"/>
        <w:spacing w:lineRule="auto" w:line="240" w:before="0" w:after="0"/>
        <w:ind w:firstLine="709"/>
        <w:jc w:val="center"/>
        <w:rPr>
          <w:rFonts w:ascii="PT Astra Serif" w:hAnsi="PT Astra Serif"/>
          <w:sz w:val="28"/>
          <w:szCs w:val="28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по Приморскому краю государственного контроля в установленных сферах за 1 полугодие 2025 года.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center"/>
        <w:rPr>
          <w:rFonts w:ascii="PT Astra Serif" w:hAnsi="PT Astra Serif"/>
          <w:sz w:val="28"/>
          <w:szCs w:val="28"/>
        </w:rPr>
      </w:pPr>
      <w:r>
        <w:rPr>
          <w:rFonts w:eastAsia="Times New Roman" w:cs="Times New Roman" w:ascii="PT Astra Serif" w:hAnsi="PT Astra Serif"/>
          <w:b/>
          <w:sz w:val="28"/>
          <w:szCs w:val="28"/>
          <w:lang w:eastAsia="ru-RU"/>
        </w:rPr>
        <w:t>Федеральный государственный контроль (надзор) за обеспечением безопасности объектов топливно-энергетического комплекса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  <w:sz w:val="28"/>
          <w:szCs w:val="28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На  Управление Федеральной службы войск национальной гвардии Российской Федерации по Приморскому краю</w:t>
      </w:r>
      <w:r>
        <w:rPr>
          <w:rStyle w:val="Style15"/>
          <w:rFonts w:eastAsia="Times New Roman" w:cs="Times New Roman" w:ascii="PT Astra Serif" w:hAnsi="PT Astra Serif"/>
          <w:sz w:val="28"/>
          <w:szCs w:val="28"/>
          <w:vertAlign w:val="superscript"/>
          <w:lang w:eastAsia="ru-RU"/>
        </w:rPr>
        <w:footnoteReference w:id="2"/>
      </w: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, согласно статьи 2 Федерального закона от 3 июля 2016 г. № 226-ФЗ «О войсках национальной гвардии Российской Федерации»</w:t>
      </w:r>
      <w:r>
        <w:rPr>
          <w:rStyle w:val="Style15"/>
          <w:rFonts w:eastAsia="Times New Roman" w:cs="Times New Roman" w:ascii="PT Astra Serif" w:hAnsi="PT Astra Serif"/>
          <w:sz w:val="28"/>
          <w:szCs w:val="28"/>
          <w:vertAlign w:val="superscript"/>
          <w:lang w:eastAsia="ru-RU"/>
        </w:rPr>
        <w:footnoteReference w:id="3"/>
      </w: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, возложен федеральный государственный контроль (надзор) за обеспечением безопасности объектов топливно-энергетического комплекса</w:t>
      </w:r>
      <w:r>
        <w:rPr>
          <w:rStyle w:val="Style15"/>
          <w:rFonts w:eastAsia="Times New Roman" w:cs="Times New Roman" w:ascii="PT Astra Serif" w:hAnsi="PT Astra Serif"/>
          <w:sz w:val="28"/>
          <w:szCs w:val="28"/>
          <w:vertAlign w:val="superscript"/>
          <w:lang w:eastAsia="ru-RU"/>
        </w:rPr>
        <w:footnoteReference w:id="4"/>
      </w: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 xml:space="preserve">. 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  <w:sz w:val="28"/>
          <w:szCs w:val="28"/>
        </w:rPr>
      </w:pPr>
      <w:r>
        <w:rPr>
          <w:rFonts w:eastAsia="Calibri" w:cs="Times New Roman" w:ascii="PT Astra Serif" w:hAnsi="PT Astra Serif"/>
          <w:sz w:val="28"/>
          <w:szCs w:val="28"/>
        </w:rPr>
        <w:t>На территории Приморского края расположено 57 объектов топливно-энергетического комплекса,  включенных в перечень объектов, подлежащих категорированию, утвержденный Председателем антитеррористической комиссии Приморского края. Всем объектам, включенным в указанный перечень, присвоена соответствующая категория опасности. По категориям опасности: высокой - нет, средней – 13, низкой  – 23, в</w:t>
      </w:r>
      <w:r>
        <w:rPr>
          <w:rFonts w:eastAsia="Calibri" w:cs="Times New Roman" w:ascii="PT Astra Serif" w:hAnsi="PT Astra Serif"/>
          <w:sz w:val="28"/>
          <w:szCs w:val="28"/>
          <w:lang w:eastAsia="en-US"/>
        </w:rPr>
        <w:t xml:space="preserve"> отношении 21  объекта  в настоящее время проводятся мероприятия по категорированию и разработки паспорт</w:t>
      </w:r>
      <w:r>
        <w:rPr>
          <w:rFonts w:eastAsia="Calibri" w:cs="Times New Roman" w:ascii="PT Astra Serif" w:hAnsi="PT Astra Serif"/>
          <w:sz w:val="28"/>
          <w:szCs w:val="28"/>
          <w:lang w:eastAsia="en-US"/>
        </w:rPr>
        <w:t>ов</w:t>
      </w:r>
      <w:r>
        <w:rPr>
          <w:rFonts w:eastAsia="Calibri" w:cs="Times New Roman" w:ascii="PT Astra Serif" w:hAnsi="PT Astra Serif"/>
          <w:sz w:val="28"/>
          <w:szCs w:val="28"/>
          <w:lang w:eastAsia="en-US"/>
        </w:rPr>
        <w:t xml:space="preserve"> безопасности объекта</w:t>
      </w:r>
      <w:r>
        <w:rPr>
          <w:rFonts w:eastAsia="Calibri" w:cs="Times New Roman" w:ascii="PT Astra Serif" w:hAnsi="PT Astra Serif"/>
          <w:i/>
          <w:sz w:val="22"/>
          <w:szCs w:val="22"/>
        </w:rPr>
        <w:t>.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  <w:sz w:val="28"/>
          <w:szCs w:val="28"/>
        </w:rPr>
      </w:pPr>
      <w:r>
        <w:rPr>
          <w:rFonts w:eastAsia="Calibri" w:cs="Times New Roman" w:ascii="PT Astra Serif" w:hAnsi="PT Astra Serif"/>
          <w:sz w:val="28"/>
          <w:szCs w:val="28"/>
        </w:rPr>
        <w:t>С председателем антитеррористической комиссии Приморского края  согласован План проведения Управлением Росгвардии по Приморскому краю проверок объектов ТЭК на 2025 год</w:t>
      </w:r>
      <w:r>
        <w:rPr>
          <w:rStyle w:val="Style15"/>
          <w:rFonts w:eastAsia="Calibri" w:cs="Times New Roman" w:ascii="PT Astra Serif" w:hAnsi="PT Astra Serif"/>
          <w:sz w:val="28"/>
          <w:szCs w:val="28"/>
          <w:vertAlign w:val="superscript"/>
        </w:rPr>
        <w:footnoteReference w:id="5"/>
      </w:r>
      <w:r>
        <w:rPr>
          <w:rFonts w:eastAsia="Calibri" w:cs="Times New Roman" w:ascii="PT Astra Serif" w:hAnsi="PT Astra Serif"/>
          <w:sz w:val="28"/>
          <w:szCs w:val="28"/>
        </w:rPr>
        <w:t xml:space="preserve">.  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/>
      </w:pPr>
      <w:r>
        <w:rPr>
          <w:rFonts w:eastAsia="Calibri" w:cs="PT Astra Serif" w:ascii="PT Astra Serif" w:hAnsi="PT Astra Serif"/>
          <w:color w:val="auto"/>
          <w:sz w:val="28"/>
          <w:szCs w:val="28"/>
        </w:rPr>
        <w:t>Планом предусмотрено провести в текущем году 1</w:t>
      </w:r>
      <w:r>
        <w:rPr>
          <w:rFonts w:eastAsia="Calibri" w:cs="PT Astra Serif" w:ascii="PT Astra Serif" w:hAnsi="PT Astra Serif"/>
          <w:color w:val="auto"/>
          <w:sz w:val="28"/>
          <w:szCs w:val="28"/>
        </w:rPr>
        <w:t>4</w:t>
      </w:r>
      <w:r>
        <w:rPr>
          <w:rFonts w:eastAsia="Calibri" w:cs="PT Astra Serif" w:ascii="PT Astra Serif" w:hAnsi="PT Astra Serif"/>
          <w:color w:val="auto"/>
          <w:sz w:val="28"/>
          <w:szCs w:val="28"/>
        </w:rPr>
        <w:t xml:space="preserve"> проверок объектов ТЭК, расположенных на территории Приморского края.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/>
      </w:pP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>За истекший период 202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>5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 года в </w:t>
      </w:r>
      <w:r>
        <w:rPr>
          <w:rFonts w:eastAsia="Times New Roman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целях осуществления контроля за обеспечением безопасности объектов ТЭК 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>проведен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>о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 </w:t>
      </w:r>
      <w:r>
        <w:rPr>
          <w:rFonts w:eastAsia="Calibri" w:cs="PT Astra Serif" w:ascii="PT Astra Serif" w:hAnsi="PT Astra Serif"/>
          <w:b/>
          <w:bCs/>
          <w:color w:val="000000"/>
          <w:sz w:val="28"/>
          <w:szCs w:val="28"/>
        </w:rPr>
        <w:t>5</w:t>
      </w:r>
      <w:r>
        <w:rPr>
          <w:rFonts w:eastAsia="Calibri" w:cs="PT Astra Serif" w:ascii="PT Astra Serif" w:hAnsi="PT Astra Serif"/>
          <w:b/>
          <w:bCs/>
          <w:color w:val="000000"/>
          <w:sz w:val="28"/>
          <w:szCs w:val="28"/>
        </w:rPr>
        <w:t xml:space="preserve"> планов</w:t>
      </w:r>
      <w:r>
        <w:rPr>
          <w:rFonts w:eastAsia="Calibri" w:cs="PT Astra Serif" w:ascii="PT Astra Serif" w:hAnsi="PT Astra Serif"/>
          <w:b/>
          <w:bCs/>
          <w:color w:val="000000"/>
          <w:sz w:val="28"/>
          <w:szCs w:val="28"/>
        </w:rPr>
        <w:t>ы</w:t>
      </w:r>
      <w:r>
        <w:rPr>
          <w:rFonts w:eastAsia="Calibri" w:cs="PT Astra Serif" w:ascii="PT Astra Serif" w:hAnsi="PT Astra Serif"/>
          <w:b/>
          <w:bCs/>
          <w:color w:val="000000"/>
          <w:sz w:val="28"/>
          <w:szCs w:val="28"/>
        </w:rPr>
        <w:t>х</w:t>
      </w:r>
      <w:r>
        <w:rPr>
          <w:rFonts w:eastAsia="Calibri" w:cs="PT Astra Serif" w:ascii="PT Astra Serif" w:hAnsi="PT Astra Serif"/>
          <w:b/>
          <w:bCs/>
          <w:color w:val="000000"/>
          <w:sz w:val="28"/>
          <w:szCs w:val="28"/>
        </w:rPr>
        <w:t xml:space="preserve"> 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>провер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>ок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 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>и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 </w:t>
      </w:r>
      <w:r>
        <w:rPr>
          <w:rFonts w:eastAsia="Calibri" w:cs="PT Astra Serif" w:ascii="PT Astra Serif" w:hAnsi="PT Astra Serif"/>
          <w:b/>
          <w:bCs/>
          <w:color w:val="000000"/>
          <w:sz w:val="28"/>
          <w:szCs w:val="28"/>
        </w:rPr>
        <w:t>5</w:t>
      </w:r>
      <w:r>
        <w:rPr>
          <w:rFonts w:eastAsia="Calibri" w:cs="PT Astra Serif" w:ascii="PT Astra Serif" w:hAnsi="PT Astra Serif"/>
          <w:b/>
          <w:bCs/>
          <w:color w:val="000000"/>
          <w:sz w:val="28"/>
          <w:szCs w:val="28"/>
        </w:rPr>
        <w:t xml:space="preserve"> внепланов</w:t>
      </w:r>
      <w:r>
        <w:rPr>
          <w:rFonts w:eastAsia="Calibri" w:cs="PT Astra Serif" w:ascii="PT Astra Serif" w:hAnsi="PT Astra Serif"/>
          <w:b/>
          <w:bCs/>
          <w:color w:val="000000"/>
          <w:sz w:val="28"/>
          <w:szCs w:val="28"/>
        </w:rPr>
        <w:t>ы</w:t>
      </w:r>
      <w:r>
        <w:rPr>
          <w:rFonts w:eastAsia="Calibri" w:cs="PT Astra Serif" w:ascii="PT Astra Serif" w:hAnsi="PT Astra Serif"/>
          <w:b/>
          <w:bCs/>
          <w:color w:val="000000"/>
          <w:sz w:val="28"/>
          <w:szCs w:val="28"/>
        </w:rPr>
        <w:t>х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 провер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>к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>и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 с целью осуществления контроля за устранением ранее выявленных нарушений. </w:t>
      </w:r>
      <w:r>
        <w:rPr>
          <w:rFonts w:eastAsia="Times New Roman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Составле</w:t>
      </w:r>
      <w:r>
        <w:rPr>
          <w:rFonts w:eastAsia="Times New Roman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н</w:t>
      </w:r>
      <w:r>
        <w:rPr>
          <w:rFonts w:eastAsia="Times New Roman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о</w:t>
      </w:r>
      <w:r>
        <w:rPr>
          <w:rFonts w:eastAsia="Times New Roman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 </w:t>
      </w:r>
      <w:r>
        <w:rPr>
          <w:rFonts w:eastAsia="Times New Roman" w:cs="PT Astra Serif" w:ascii="PT Astra Serif" w:hAnsi="PT Astra Serif"/>
          <w:b/>
          <w:bCs/>
          <w:i w:val="false"/>
          <w:iCs w:val="false"/>
          <w:color w:val="000000"/>
          <w:sz w:val="28"/>
          <w:szCs w:val="28"/>
          <w:lang w:eastAsia="ru-RU"/>
        </w:rPr>
        <w:t>10</w:t>
      </w:r>
      <w:r>
        <w:rPr>
          <w:rFonts w:eastAsia="Times New Roman" w:cs="Times New Roman" w:ascii="PT Astra Serif" w:hAnsi="PT Astra Serif"/>
          <w:b/>
          <w:bCs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 xml:space="preserve"> </w:t>
      </w:r>
      <w:r>
        <w:rPr>
          <w:rFonts w:eastAsia="Times New Roman" w:cs="PT Astra Serif" w:ascii="PT Astra Serif" w:hAnsi="PT Astra Serif"/>
          <w:b/>
          <w:bCs/>
          <w:i w:val="false"/>
          <w:iCs w:val="false"/>
          <w:color w:val="000000"/>
          <w:sz w:val="28"/>
          <w:szCs w:val="28"/>
          <w:lang w:eastAsia="ru-RU"/>
        </w:rPr>
        <w:t>акт</w:t>
      </w:r>
      <w:r>
        <w:rPr>
          <w:rFonts w:eastAsia="Times New Roman" w:cs="PT Astra Serif" w:ascii="PT Astra Serif" w:hAnsi="PT Astra Serif"/>
          <w:b/>
          <w:bCs/>
          <w:i w:val="false"/>
          <w:iCs w:val="false"/>
          <w:color w:val="000000"/>
          <w:sz w:val="28"/>
          <w:szCs w:val="28"/>
          <w:lang w:eastAsia="ru-RU"/>
        </w:rPr>
        <w:t>ов</w:t>
      </w:r>
      <w:r>
        <w:rPr>
          <w:rFonts w:eastAsia="Times New Roman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 провер</w:t>
      </w:r>
      <w:r>
        <w:rPr>
          <w:rFonts w:eastAsia="Times New Roman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о</w:t>
      </w:r>
      <w:r>
        <w:rPr>
          <w:rFonts w:eastAsia="Times New Roman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к</w:t>
      </w:r>
      <w:r>
        <w:rPr>
          <w:rFonts w:eastAsia="Times New Roman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.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 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>Внесено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 </w:t>
      </w:r>
      <w:r>
        <w:rPr>
          <w:rFonts w:eastAsia="Calibri" w:cs="PT Astra Serif" w:ascii="PT Astra Serif" w:hAnsi="PT Astra Serif"/>
          <w:b/>
          <w:bCs/>
          <w:color w:val="000000"/>
          <w:sz w:val="28"/>
          <w:szCs w:val="28"/>
        </w:rPr>
        <w:t>5</w:t>
      </w:r>
      <w:r>
        <w:rPr>
          <w:rFonts w:eastAsia="Calibri" w:cs="PT Astra Serif" w:ascii="PT Astra Serif" w:hAnsi="PT Astra Serif"/>
          <w:b/>
          <w:bCs/>
          <w:color w:val="000000"/>
          <w:sz w:val="28"/>
          <w:szCs w:val="28"/>
        </w:rPr>
        <w:t xml:space="preserve"> предписани</w:t>
      </w:r>
      <w:r>
        <w:rPr>
          <w:rFonts w:eastAsia="Calibri" w:cs="PT Astra Serif" w:ascii="PT Astra Serif" w:hAnsi="PT Astra Serif"/>
          <w:b/>
          <w:bCs/>
          <w:color w:val="000000"/>
          <w:sz w:val="28"/>
          <w:szCs w:val="28"/>
        </w:rPr>
        <w:t>й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 об устранении выявленных нарушений 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>(4 предписания по плановым проверкам и 1 по внеплановой проверке)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. 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/>
      </w:pP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Всего по 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>и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тогам проведенных проверок 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составлено </w:t>
      </w:r>
      <w:r>
        <w:rPr>
          <w:rFonts w:eastAsia="Calibri" w:cs="PT Astra Serif" w:ascii="PT Astra Serif" w:hAnsi="PT Astra Serif"/>
          <w:b/>
          <w:bCs/>
          <w:color w:val="000000"/>
          <w:sz w:val="28"/>
          <w:szCs w:val="28"/>
        </w:rPr>
        <w:t>1</w:t>
      </w:r>
      <w:r>
        <w:rPr>
          <w:rFonts w:eastAsia="Calibri" w:cs="PT Astra Serif" w:ascii="PT Astra Serif" w:hAnsi="PT Astra Serif"/>
          <w:b/>
          <w:bCs/>
          <w:color w:val="000000"/>
          <w:sz w:val="28"/>
          <w:szCs w:val="28"/>
        </w:rPr>
        <w:t>8</w:t>
      </w:r>
      <w:r>
        <w:rPr>
          <w:rFonts w:eastAsia="Calibri" w:cs="PT Astra Serif" w:ascii="PT Astra Serif" w:hAnsi="PT Astra Serif"/>
          <w:b/>
          <w:bCs/>
          <w:color w:val="000000"/>
          <w:sz w:val="28"/>
          <w:szCs w:val="28"/>
        </w:rPr>
        <w:t xml:space="preserve"> протоколов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 предусмотренных </w:t>
      </w:r>
      <w:r>
        <w:rPr>
          <w:rFonts w:eastAsia="Times New Roman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>КоАП РФ.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/>
      </w:pPr>
      <w:r>
        <w:rPr>
          <w:rFonts w:eastAsia="Times New Roman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По итогам проведенных плановых проверок составлено </w:t>
      </w:r>
      <w:r>
        <w:rPr>
          <w:rFonts w:eastAsia="Times New Roman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zh-CN" w:bidi="ar-SA"/>
        </w:rPr>
        <w:t>8</w:t>
      </w:r>
      <w:r>
        <w:rPr>
          <w:rFonts w:eastAsia="Times New Roman" w:cs="PT Astra Serif" w:ascii="PT Astra Serif" w:hAnsi="PT Astra Serif"/>
          <w:b/>
          <w:bCs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 </w:t>
      </w:r>
      <w:r>
        <w:rPr>
          <w:rFonts w:eastAsia="Times New Roman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zh-CN" w:bidi="ar-SA"/>
        </w:rPr>
        <w:t>протоколов</w:t>
      </w:r>
      <w:r>
        <w:rPr>
          <w:rFonts w:eastAsia="Times New Roman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 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>об административн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>ом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 xml:space="preserve"> правонарушени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>и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 xml:space="preserve">, 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 xml:space="preserve">из них 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 xml:space="preserve">ответственность предусмотрена 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>по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 xml:space="preserve"> </w:t>
      </w:r>
      <w:r>
        <w:rPr>
          <w:rFonts w:eastAsia="Times New Roman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ч. 2 </w:t>
      </w:r>
      <w:r>
        <w:rPr>
          <w:rFonts w:eastAsia="Times New Roman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zh-CN" w:bidi="ar-SA"/>
        </w:rPr>
        <w:t>ст.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>20.30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 xml:space="preserve"> </w:t>
      </w:r>
      <w:r>
        <w:rPr>
          <w:rFonts w:eastAsia="Times New Roman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КоАП РФ — </w:t>
      </w:r>
      <w:r>
        <w:rPr>
          <w:rFonts w:eastAsia="Times New Roman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zh-CN" w:bidi="ar-SA"/>
        </w:rPr>
        <w:t>4</w:t>
      </w:r>
      <w:r>
        <w:rPr>
          <w:rFonts w:eastAsia="Times New Roman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zh-CN" w:bidi="ar-SA"/>
        </w:rPr>
        <w:t>,</w:t>
      </w:r>
      <w:r>
        <w:rPr>
          <w:rFonts w:eastAsia="Times New Roman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 </w:t>
      </w:r>
      <w:r>
        <w:rPr>
          <w:rFonts w:eastAsia="Times New Roman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по </w:t>
      </w:r>
      <w:r>
        <w:rPr>
          <w:rFonts w:eastAsia="Times New Roman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ч. 1 </w:t>
      </w:r>
      <w:r>
        <w:rPr>
          <w:rFonts w:eastAsia="Times New Roman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ст. 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>20.30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 xml:space="preserve"> </w:t>
      </w:r>
      <w:r>
        <w:rPr>
          <w:rFonts w:eastAsia="Times New Roman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КоАП РФ — </w:t>
      </w:r>
      <w:r>
        <w:rPr>
          <w:rFonts w:eastAsia="Times New Roman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zh-CN" w:bidi="ar-SA"/>
        </w:rPr>
        <w:t>4</w:t>
      </w:r>
      <w:r>
        <w:rPr>
          <w:rFonts w:eastAsia="Calibri" w:cs="PT Astra Serif" w:ascii="PT Astra Serif" w:hAnsi="PT Astra Serif"/>
          <w:b/>
          <w:bCs/>
          <w:i/>
          <w:iCs/>
          <w:color w:val="000000"/>
          <w:sz w:val="24"/>
          <w:szCs w:val="24"/>
          <w:u w:val="none"/>
          <w:lang w:val="ru-RU" w:eastAsia="en-US" w:bidi="ar-SA"/>
        </w:rPr>
        <w:t xml:space="preserve">; 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>на должностных лиц — 4; на юридических лиц — 4.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/>
      </w:pP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</w:rPr>
        <w:t xml:space="preserve">По итогам проведенных 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</w:rPr>
        <w:t xml:space="preserve">внеплановых 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</w:rPr>
        <w:t>проверок с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</w:rPr>
        <w:t xml:space="preserve">оставлено 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</w:rPr>
        <w:t>10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</w:rPr>
        <w:t xml:space="preserve"> прот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  <w:lang w:eastAsia="en-US"/>
        </w:rPr>
        <w:t>окол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  <w:lang w:eastAsia="en-US"/>
        </w:rPr>
        <w:t>ов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  <w:lang w:eastAsia="en-US"/>
        </w:rPr>
        <w:t xml:space="preserve"> об административн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  <w:lang w:eastAsia="en-US"/>
        </w:rPr>
        <w:t>ом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  <w:lang w:eastAsia="en-US"/>
        </w:rPr>
        <w:t xml:space="preserve"> правонарушени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  <w:lang w:eastAsia="en-US"/>
        </w:rPr>
        <w:t>и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  <w:lang w:eastAsia="en-US"/>
        </w:rPr>
        <w:t xml:space="preserve">, 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  <w:lang w:eastAsia="en-US"/>
        </w:rPr>
        <w:t xml:space="preserve">из них 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  <w:lang w:eastAsia="en-US"/>
        </w:rPr>
        <w:t xml:space="preserve">ответственность предусмотрена 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  <w:lang w:eastAsia="en-US"/>
        </w:rPr>
        <w:t xml:space="preserve">по </w:t>
      </w:r>
      <w:r>
        <w:rPr>
          <w:rFonts w:eastAsia="Times New Roman" w:cs="PT Astra Serif" w:ascii="PT Astra Serif" w:hAnsi="PT Astra Serif"/>
          <w:i/>
          <w:iCs/>
          <w:color w:val="000000"/>
          <w:sz w:val="24"/>
          <w:szCs w:val="24"/>
          <w:u w:val="none"/>
          <w:lang w:val="ru-RU" w:eastAsia="zh-CN" w:bidi="ar-SA"/>
        </w:rPr>
        <w:t>ч. 3</w:t>
      </w:r>
      <w:r>
        <w:rPr>
          <w:rFonts w:eastAsia="Times New Roman" w:cs="PT Astra Serif" w:ascii="PT Astra Serif" w:hAnsi="PT Astra Serif"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7 </w:t>
      </w:r>
      <w:r>
        <w:rPr>
          <w:rFonts w:eastAsia="Times New Roman" w:cs="PT Astra Serif" w:ascii="PT Astra Serif" w:hAnsi="PT Astra Serif"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ст. 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  <w:lang w:eastAsia="en-US"/>
        </w:rPr>
        <w:t>19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  <w:lang w:eastAsia="en-US"/>
        </w:rPr>
        <w:t>.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  <w:lang w:eastAsia="en-US"/>
        </w:rPr>
        <w:t>5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  <w:lang w:eastAsia="en-US"/>
        </w:rPr>
        <w:t xml:space="preserve"> </w:t>
      </w:r>
      <w:r>
        <w:rPr>
          <w:rFonts w:eastAsia="Times New Roman" w:cs="PT Astra Serif" w:ascii="PT Astra Serif" w:hAnsi="PT Astra Serif"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КоАП РФ - </w:t>
      </w:r>
      <w:r>
        <w:rPr>
          <w:rFonts w:eastAsia="Times New Roman" w:cs="PT Astra Serif" w:ascii="PT Astra Serif" w:hAnsi="PT Astra Serif"/>
          <w:i/>
          <w:iCs/>
          <w:color w:val="000000"/>
          <w:sz w:val="24"/>
          <w:szCs w:val="24"/>
          <w:u w:val="none"/>
          <w:lang w:val="ru-RU" w:eastAsia="zh-CN" w:bidi="ar-SA"/>
        </w:rPr>
        <w:t>5</w:t>
      </w:r>
      <w:r>
        <w:rPr>
          <w:rFonts w:eastAsia="Times New Roman" w:cs="PT Astra Serif" w:ascii="PT Astra Serif" w:hAnsi="PT Astra Serif"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, </w:t>
      </w:r>
      <w:r>
        <w:rPr>
          <w:rFonts w:eastAsia="Times New Roman" w:cs="PT Astra Serif" w:ascii="PT Astra Serif" w:hAnsi="PT Astra Serif"/>
          <w:i/>
          <w:iCs/>
          <w:color w:val="000000"/>
          <w:sz w:val="24"/>
          <w:szCs w:val="24"/>
          <w:u w:val="none"/>
          <w:lang w:val="ru-RU" w:eastAsia="zh-CN" w:bidi="ar-SA"/>
        </w:rPr>
        <w:t>по</w:t>
      </w:r>
      <w:r>
        <w:rPr>
          <w:rFonts w:eastAsia="Times New Roman" w:cs="PT Astra Serif" w:ascii="PT Astra Serif" w:hAnsi="PT Astra Serif"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 </w:t>
      </w:r>
      <w:r>
        <w:rPr>
          <w:rFonts w:eastAsia="Times New Roman" w:cs="PT Astra Serif" w:ascii="PT Astra Serif" w:hAnsi="PT Astra Serif"/>
          <w:i/>
          <w:iCs/>
          <w:color w:val="000000"/>
          <w:sz w:val="24"/>
          <w:szCs w:val="24"/>
          <w:u w:val="none"/>
          <w:lang w:val="ru-RU" w:eastAsia="zh-CN" w:bidi="ar-SA"/>
        </w:rPr>
        <w:t>ч. 3</w:t>
      </w:r>
      <w:r>
        <w:rPr>
          <w:rFonts w:eastAsia="Times New Roman" w:cs="PT Astra Serif" w:ascii="PT Astra Serif" w:hAnsi="PT Astra Serif"/>
          <w:i/>
          <w:iCs/>
          <w:color w:val="000000"/>
          <w:sz w:val="24"/>
          <w:szCs w:val="24"/>
          <w:u w:val="none"/>
          <w:lang w:val="ru-RU" w:eastAsia="zh-CN" w:bidi="ar-SA"/>
        </w:rPr>
        <w:t>6</w:t>
      </w:r>
      <w:r>
        <w:rPr>
          <w:rFonts w:eastAsia="Times New Roman" w:cs="PT Astra Serif" w:ascii="PT Astra Serif" w:hAnsi="PT Astra Serif"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 </w:t>
      </w:r>
      <w:r>
        <w:rPr>
          <w:rFonts w:eastAsia="Times New Roman" w:cs="PT Astra Serif" w:ascii="PT Astra Serif" w:hAnsi="PT Astra Serif"/>
          <w:i/>
          <w:iCs/>
          <w:color w:val="000000"/>
          <w:sz w:val="24"/>
          <w:szCs w:val="24"/>
          <w:u w:val="none"/>
          <w:lang w:val="ru-RU" w:eastAsia="zh-CN" w:bidi="ar-SA"/>
        </w:rPr>
        <w:t>ст.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  <w:u w:val="none"/>
          <w:lang w:val="ru-RU" w:eastAsia="en-US" w:bidi="ar-SA"/>
        </w:rPr>
        <w:t>19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  <w:u w:val="none"/>
          <w:lang w:val="ru-RU" w:eastAsia="en-US" w:bidi="ar-SA"/>
        </w:rPr>
        <w:t>.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  <w:u w:val="none"/>
          <w:lang w:val="ru-RU" w:eastAsia="en-US" w:bidi="ar-SA"/>
        </w:rPr>
        <w:t>5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  <w:u w:val="none"/>
          <w:lang w:val="ru-RU" w:eastAsia="en-US" w:bidi="ar-SA"/>
        </w:rPr>
        <w:t xml:space="preserve"> </w:t>
      </w:r>
      <w:r>
        <w:rPr>
          <w:rFonts w:eastAsia="Times New Roman" w:cs="PT Astra Serif" w:ascii="PT Astra Serif" w:hAnsi="PT Astra Serif"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КоАП РФ - </w:t>
      </w:r>
      <w:r>
        <w:rPr>
          <w:rFonts w:eastAsia="Times New Roman" w:cs="PT Astra Serif" w:ascii="PT Astra Serif" w:hAnsi="PT Astra Serif"/>
          <w:i/>
          <w:iCs/>
          <w:color w:val="000000"/>
          <w:sz w:val="24"/>
          <w:szCs w:val="24"/>
          <w:u w:val="none"/>
          <w:lang w:val="ru-RU" w:eastAsia="zh-CN" w:bidi="ar-SA"/>
        </w:rPr>
        <w:t>5</w:t>
      </w:r>
      <w:r>
        <w:rPr>
          <w:rFonts w:eastAsia="Times New Roman" w:cs="PT Astra Serif" w:ascii="PT Astra Serif" w:hAnsi="PT Astra Serif"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. 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/>
      </w:pPr>
      <w:r>
        <w:rPr>
          <w:rFonts w:eastAsia="Calibri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en-US"/>
        </w:rPr>
        <w:t xml:space="preserve">По итогам </w:t>
      </w:r>
      <w:r>
        <w:rPr>
          <w:rFonts w:eastAsia="Calibri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en-US"/>
        </w:rPr>
        <w:t xml:space="preserve">плановых </w:t>
      </w:r>
      <w:r>
        <w:rPr>
          <w:rFonts w:eastAsia="Calibri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en-US"/>
        </w:rPr>
        <w:t xml:space="preserve">проверок </w:t>
      </w:r>
      <w:r>
        <w:rPr>
          <w:rFonts w:eastAsia="Calibri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en-US"/>
        </w:rPr>
        <w:t xml:space="preserve">выявлено </w:t>
      </w:r>
      <w:r>
        <w:rPr>
          <w:rFonts w:eastAsia="Calibri" w:cs="PT Astra Serif" w:ascii="PT Astra Serif" w:hAnsi="PT Astra Serif"/>
          <w:b/>
          <w:bCs/>
          <w:i w:val="false"/>
          <w:iCs w:val="false"/>
          <w:color w:val="000000"/>
          <w:sz w:val="28"/>
          <w:szCs w:val="28"/>
          <w:lang w:eastAsia="en-US"/>
        </w:rPr>
        <w:t>51</w:t>
      </w:r>
      <w:r>
        <w:rPr>
          <w:rFonts w:eastAsia="Calibri" w:cs="PT Astra Serif" w:ascii="PT Astra Serif" w:hAnsi="PT Astra Serif"/>
          <w:b/>
          <w:bCs/>
          <w:i w:val="false"/>
          <w:iCs w:val="false"/>
          <w:color w:val="000000"/>
          <w:sz w:val="28"/>
          <w:szCs w:val="28"/>
          <w:lang w:eastAsia="en-US"/>
        </w:rPr>
        <w:t xml:space="preserve"> </w:t>
      </w:r>
      <w:r>
        <w:rPr>
          <w:rFonts w:eastAsia="Calibri" w:cs="PT Astra Serif" w:ascii="PT Astra Serif" w:hAnsi="PT Astra Serif"/>
          <w:b/>
          <w:bCs/>
          <w:i w:val="false"/>
          <w:iCs w:val="false"/>
          <w:color w:val="000000"/>
          <w:sz w:val="28"/>
          <w:szCs w:val="28"/>
          <w:lang w:eastAsia="en-US"/>
        </w:rPr>
        <w:t>нарушени</w:t>
      </w:r>
      <w:r>
        <w:rPr>
          <w:rFonts w:eastAsia="Calibri" w:cs="PT Astra Serif" w:ascii="PT Astra Serif" w:hAnsi="PT Astra Serif"/>
          <w:b/>
          <w:bCs/>
          <w:i w:val="false"/>
          <w:iCs w:val="false"/>
          <w:color w:val="000000"/>
          <w:sz w:val="28"/>
          <w:szCs w:val="28"/>
          <w:lang w:eastAsia="en-US"/>
        </w:rPr>
        <w:t xml:space="preserve">е </w:t>
      </w:r>
      <w:r>
        <w:rPr>
          <w:rFonts w:eastAsia="Calibri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en-US"/>
        </w:rPr>
        <w:t>Требований обеспечения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3 августа 2024 г. № 1046 (Далее - Требования).</w:t>
      </w:r>
      <w:r>
        <w:rPr>
          <w:rFonts w:eastAsia="Calibri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en-US"/>
        </w:rPr>
        <w:t xml:space="preserve"> </w:t>
      </w:r>
      <w:r>
        <w:rPr>
          <w:rFonts w:eastAsia="Calibri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en-US"/>
        </w:rPr>
        <w:t xml:space="preserve">По итогам внеплановых проверок установлено неисполнение </w:t>
      </w:r>
      <w:r>
        <w:rPr>
          <w:rFonts w:eastAsia="Calibri" w:cs="PT Astra Serif" w:ascii="PT Astra Serif" w:hAnsi="PT Astra Serif"/>
          <w:b/>
          <w:bCs/>
          <w:i w:val="false"/>
          <w:iCs w:val="false"/>
          <w:color w:val="000000"/>
          <w:sz w:val="28"/>
          <w:szCs w:val="28"/>
          <w:lang w:eastAsia="en-US"/>
        </w:rPr>
        <w:t xml:space="preserve"> 36 пунктов</w:t>
      </w:r>
      <w:r>
        <w:rPr>
          <w:rFonts w:eastAsia="Calibri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en-US"/>
        </w:rPr>
        <w:t xml:space="preserve"> 5 предписаний, выданных ранее по итогам плановых проверок.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PT Astra Serif" w:hAnsi="PT Astra Serif"/>
          <w:color w:val="auto"/>
          <w:sz w:val="28"/>
          <w:szCs w:val="28"/>
        </w:rPr>
      </w:pPr>
      <w:r>
        <w:rPr>
          <w:rFonts w:eastAsia="Calibri" w:cs="PT Astra Serif" w:ascii="PT Astra Serif" w:hAnsi="PT Astra Serif"/>
          <w:color w:val="auto"/>
          <w:sz w:val="28"/>
          <w:szCs w:val="28"/>
        </w:rPr>
        <w:t xml:space="preserve">Сотрудниками </w:t>
      </w:r>
      <w:r>
        <w:rPr>
          <w:rFonts w:eastAsia="Calibri" w:cs="PT Astra Serif" w:ascii="PT Astra Serif" w:hAnsi="PT Astra Serif"/>
          <w:color w:val="auto"/>
          <w:sz w:val="28"/>
          <w:szCs w:val="28"/>
        </w:rPr>
        <w:t>ОГК</w:t>
      </w:r>
      <w:r>
        <w:rPr>
          <w:rFonts w:eastAsia="Calibri" w:cs="PT Astra Serif" w:ascii="PT Astra Serif" w:hAnsi="PT Astra Serif"/>
          <w:color w:val="auto"/>
          <w:sz w:val="28"/>
          <w:szCs w:val="28"/>
        </w:rPr>
        <w:t xml:space="preserve"> принято участие в работе 31 комиссии по категорированию объектов ТЭК и 11 комиссиях по актуализации паспортов безопасности, актуализировано 5 паспортов безопасности, 6 паспортов находятся на согласовании АТК Приморского края.   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PT Astra Serif" w:hAnsi="PT Astra Serif" w:eastAsia="Calibri" w:cs="PT Astra Serif"/>
          <w:color w:val="auto"/>
          <w:sz w:val="28"/>
          <w:szCs w:val="28"/>
        </w:rPr>
      </w:pPr>
      <w:r>
        <w:rPr>
          <w:rFonts w:eastAsia="Calibri" w:cs="PT Astra Serif" w:ascii="PT Astra Serif" w:hAnsi="PT Astra Serif"/>
          <w:color w:val="auto"/>
          <w:sz w:val="28"/>
          <w:szCs w:val="28"/>
        </w:rPr>
        <w:t xml:space="preserve">В рамках профилактических мероприятий </w:t>
      </w:r>
      <w:r>
        <w:rPr>
          <w:rFonts w:eastAsia="Calibri" w:cs="PT Astra Serif" w:ascii="PT Astra Serif" w:hAnsi="PT Astra Serif"/>
          <w:color w:val="auto"/>
          <w:sz w:val="28"/>
          <w:szCs w:val="28"/>
        </w:rPr>
        <w:t>сотрудниками ОГК</w:t>
      </w:r>
      <w:r>
        <w:rPr>
          <w:rFonts w:eastAsia="Calibri" w:cs="PT Astra Serif" w:ascii="PT Astra Serif" w:hAnsi="PT Astra Serif"/>
          <w:color w:val="auto"/>
          <w:sz w:val="28"/>
          <w:szCs w:val="28"/>
        </w:rPr>
        <w:t xml:space="preserve"> проведено 18 консультирований субъектов ТЭК по вопросам обеспечения безопасности и антитеррористической защищенности объектов ТЭК,  осуществлению федерального государственного контроля за обеспечением безопасности объектов; объявлено </w:t>
      </w:r>
      <w:r>
        <w:rPr>
          <w:rFonts w:eastAsia="Calibri" w:cs="PT Astra Serif" w:ascii="PT Astra Serif" w:hAnsi="PT Astra Serif"/>
          <w:color w:val="auto"/>
          <w:sz w:val="28"/>
          <w:szCs w:val="28"/>
        </w:rPr>
        <w:t>2</w:t>
      </w:r>
      <w:r>
        <w:rPr>
          <w:rFonts w:eastAsia="Calibri" w:cs="PT Astra Serif" w:ascii="PT Astra Serif" w:hAnsi="PT Astra Serif"/>
          <w:color w:val="auto"/>
          <w:sz w:val="28"/>
          <w:szCs w:val="28"/>
        </w:rPr>
        <w:t xml:space="preserve"> предостережени</w:t>
      </w:r>
      <w:r>
        <w:rPr>
          <w:rFonts w:eastAsia="Calibri" w:cs="PT Astra Serif" w:ascii="PT Astra Serif" w:hAnsi="PT Astra Serif"/>
          <w:color w:val="auto"/>
          <w:sz w:val="28"/>
          <w:szCs w:val="28"/>
        </w:rPr>
        <w:t>я</w:t>
      </w:r>
      <w:r>
        <w:rPr>
          <w:rFonts w:eastAsia="Calibri" w:cs="PT Astra Serif" w:ascii="PT Astra Serif" w:hAnsi="PT Astra Serif"/>
          <w:color w:val="auto"/>
          <w:sz w:val="28"/>
          <w:szCs w:val="28"/>
        </w:rPr>
        <w:t xml:space="preserve"> о недопустимости нарушения обязательных требований; информация о проведенных контрольных мероприятиях и их результатах размещена на официальном сайте территориального органа в сети «Интернет». 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PT Astra Serif" w:hAnsi="PT Astra Serif" w:eastAsia="Calibri" w:cs="PT Astra Serif"/>
          <w:color w:val="auto"/>
          <w:sz w:val="28"/>
          <w:szCs w:val="28"/>
        </w:rPr>
      </w:pPr>
      <w:r>
        <w:rPr>
          <w:rFonts w:eastAsia="Calibri" w:cs="PT Astra Serif" w:ascii="PT Astra Serif" w:hAnsi="PT Astra Serif"/>
          <w:color w:val="auto"/>
          <w:sz w:val="28"/>
          <w:szCs w:val="28"/>
        </w:rPr>
        <w:t xml:space="preserve">Посягательств, в том числе с использованием беспилотных аппаратов, на объекты топливно-энергетического не зарегистрировано. 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PT Astra Serif" w:hAnsi="PT Astra Serif" w:eastAsia="Calibri" w:cs="PT Astra Serif"/>
          <w:color w:val="auto"/>
          <w:sz w:val="28"/>
          <w:szCs w:val="28"/>
        </w:rPr>
      </w:pPr>
      <w:r>
        <w:rPr>
          <w:rFonts w:eastAsia="Calibri" w:cs="PT Astra Serif" w:ascii="PT Astra Serif" w:hAnsi="PT Astra Serif"/>
          <w:color w:val="auto"/>
          <w:sz w:val="28"/>
          <w:szCs w:val="28"/>
        </w:rPr>
        <w:tab/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PT Astra Serif" w:hAnsi="PT Astra Serif" w:eastAsia="Calibri" w:cs="PT Astra Serif"/>
          <w:b/>
          <w:b/>
          <w:bCs/>
          <w:color w:val="auto"/>
          <w:sz w:val="28"/>
          <w:szCs w:val="28"/>
        </w:rPr>
      </w:pPr>
      <w:r>
        <w:rPr>
          <w:rFonts w:eastAsia="Calibri" w:cs="PT Astra Serif" w:ascii="PT Astra Serif" w:hAnsi="PT Astra Serif"/>
          <w:b/>
          <w:bCs/>
          <w:color w:val="auto"/>
          <w:sz w:val="28"/>
          <w:szCs w:val="28"/>
        </w:rPr>
        <w:t xml:space="preserve">Федеральный государственный контроль за деятельностью подразделений ведомственной охраны и подразделений охраны юридических лиц с особыми уставными задачами. 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PT Astra Serif" w:hAnsi="PT Astra Serif" w:eastAsia="Calibri" w:cs="PT Astra Serif"/>
          <w:color w:val="auto"/>
          <w:sz w:val="28"/>
          <w:szCs w:val="28"/>
        </w:rPr>
      </w:pPr>
      <w:r>
        <w:rPr>
          <w:rFonts w:eastAsia="Calibri" w:cs="PT Astra Serif" w:ascii="PT Astra Serif" w:hAnsi="PT Astra Serif"/>
          <w:color w:val="auto"/>
          <w:sz w:val="28"/>
          <w:szCs w:val="28"/>
        </w:rPr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PT Astra Serif" w:hAnsi="PT Astra Serif" w:eastAsia="Calibri" w:cs="PT Astra Serif"/>
          <w:color w:val="auto"/>
          <w:sz w:val="28"/>
          <w:szCs w:val="28"/>
        </w:rPr>
      </w:pPr>
      <w:r>
        <w:rPr>
          <w:rFonts w:eastAsia="Calibri" w:cs="PT Astra Serif" w:ascii="PT Astra Serif" w:hAnsi="PT Astra Serif"/>
          <w:color w:val="auto"/>
          <w:sz w:val="28"/>
          <w:szCs w:val="28"/>
        </w:rPr>
        <w:tab/>
        <w:t>Планом проведения Управлением Росгвардии по Приморскому краю плановых проверок юридических лиц с особыми уставными задачами                 и подразделений ведомственной охраны на 2025 год предусмотрено проведение 5 проверок юридических лиц осуществляющих охранную деятельность на территории Приморского края.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PT Astra Serif" w:hAnsi="PT Astra Serif" w:eastAsia="Calibri" w:cs="PT Astra Serif"/>
          <w:color w:val="auto"/>
          <w:sz w:val="28"/>
          <w:szCs w:val="28"/>
        </w:rPr>
      </w:pPr>
      <w:r>
        <w:rPr>
          <w:rFonts w:eastAsia="Calibri" w:cs="PT Astra Serif" w:ascii="PT Astra Serif" w:hAnsi="PT Astra Serif"/>
          <w:color w:val="auto"/>
          <w:sz w:val="28"/>
          <w:szCs w:val="28"/>
        </w:rPr>
        <w:tab/>
        <w:t>За истекший период в рамках осуществления федерального государственного контроля проверки юридических лиц с особыми уставными задачами и подразделений ведомственной охраны проведены 3 плановые проверки: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PT Astra Serif" w:hAnsi="PT Astra Serif" w:eastAsia="Calibri" w:cs="PT Astra Serif"/>
          <w:i/>
          <w:i/>
          <w:iCs/>
          <w:color w:val="auto"/>
          <w:sz w:val="24"/>
          <w:szCs w:val="24"/>
        </w:rPr>
      </w:pPr>
      <w:r>
        <w:rPr>
          <w:rFonts w:eastAsia="Calibri" w:cs="PT Astra Serif" w:ascii="PT Astra Serif" w:hAnsi="PT Astra Serif"/>
          <w:i/>
          <w:iCs/>
          <w:color w:val="auto"/>
          <w:sz w:val="24"/>
          <w:szCs w:val="24"/>
        </w:rPr>
        <w:t>1. Филиал ФГУП «Охрана» ГЦСС — Управление специальной связи по Приморскому краю.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PT Astra Serif" w:hAnsi="PT Astra Serif" w:eastAsia="Calibri" w:cs="PT Astra Serif"/>
          <w:i/>
          <w:i/>
          <w:iCs/>
          <w:color w:val="auto"/>
          <w:sz w:val="24"/>
          <w:szCs w:val="24"/>
        </w:rPr>
      </w:pPr>
      <w:r>
        <w:rPr>
          <w:rFonts w:eastAsia="Calibri" w:cs="PT Astra Serif" w:ascii="PT Astra Serif" w:hAnsi="PT Astra Serif"/>
          <w:i/>
          <w:iCs/>
          <w:color w:val="auto"/>
          <w:sz w:val="24"/>
          <w:szCs w:val="24"/>
        </w:rPr>
        <w:t xml:space="preserve">В результате проведения плановой проверки выявлено 13 нарушений. 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PT Astra Serif" w:hAnsi="PT Astra Serif" w:eastAsia="Calibri" w:cs="PT Astra Serif"/>
          <w:i/>
          <w:i/>
          <w:iCs/>
          <w:color w:val="auto"/>
          <w:sz w:val="24"/>
          <w:szCs w:val="24"/>
        </w:rPr>
      </w:pPr>
      <w:r>
        <w:rPr>
          <w:rFonts w:eastAsia="Calibri" w:cs="PT Astra Serif" w:ascii="PT Astra Serif" w:hAnsi="PT Astra Serif"/>
          <w:i/>
          <w:iCs/>
          <w:color w:val="auto"/>
          <w:sz w:val="24"/>
          <w:szCs w:val="24"/>
        </w:rPr>
        <w:t>В отношении 3 должностных лиц Филиала составлены протоколы об административном правонарушении предусмотренные частью 1 статьи 20.8 КоАП РФ.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PT Astra Serif" w:hAnsi="PT Astra Serif" w:eastAsia="Calibri" w:cs="PT Astra Serif"/>
          <w:i/>
          <w:i/>
          <w:iCs/>
          <w:color w:val="auto"/>
          <w:sz w:val="24"/>
          <w:szCs w:val="24"/>
        </w:rPr>
      </w:pPr>
      <w:r>
        <w:rPr>
          <w:rFonts w:eastAsia="Calibri" w:cs="PT Astra Serif" w:ascii="PT Astra Serif" w:hAnsi="PT Astra Serif"/>
          <w:i/>
          <w:iCs/>
          <w:color w:val="auto"/>
          <w:sz w:val="24"/>
          <w:szCs w:val="24"/>
        </w:rPr>
        <w:t>В отношении юридического лица — ФГУП « Главный центр специальной связи» составлен протокол об административном правонарушении предусмотренные частью 1 статьи 20.8 КоАП РФ.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PT Astra Serif" w:hAnsi="PT Astra Serif" w:eastAsia="Calibri" w:cs="PT Astra Serif"/>
          <w:i/>
          <w:i/>
          <w:iCs/>
          <w:color w:val="auto"/>
          <w:sz w:val="24"/>
          <w:szCs w:val="24"/>
        </w:rPr>
      </w:pPr>
      <w:r>
        <w:rPr>
          <w:rFonts w:eastAsia="Calibri" w:cs="PT Astra Serif" w:ascii="PT Astra Serif" w:hAnsi="PT Astra Serif"/>
          <w:i/>
          <w:iCs/>
          <w:color w:val="auto"/>
          <w:sz w:val="24"/>
          <w:szCs w:val="24"/>
        </w:rPr>
        <w:t>2. Филиал — 23 отряд Федерального казенное учреждение «Государственное учреждение «Ведомственная охрана Министерства Финансов Российской Федерации».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PT Astra Serif" w:hAnsi="PT Astra Serif" w:eastAsia="Calibri" w:cs="PT Astra Serif"/>
          <w:i/>
          <w:i/>
          <w:iCs/>
          <w:color w:val="auto"/>
          <w:sz w:val="24"/>
          <w:szCs w:val="24"/>
        </w:rPr>
      </w:pPr>
      <w:r>
        <w:rPr>
          <w:rFonts w:eastAsia="Calibri" w:cs="PT Astra Serif" w:ascii="PT Astra Serif" w:hAnsi="PT Astra Serif"/>
          <w:i/>
          <w:iCs/>
          <w:color w:val="auto"/>
          <w:sz w:val="24"/>
          <w:szCs w:val="24"/>
        </w:rPr>
        <w:t xml:space="preserve">В результате проведения плановой проверки выявлено 5 нарушений. 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PT Astra Serif" w:hAnsi="PT Astra Serif" w:eastAsia="Calibri" w:cs="PT Astra Serif"/>
          <w:i/>
          <w:i/>
          <w:iCs/>
          <w:color w:val="auto"/>
          <w:sz w:val="24"/>
          <w:szCs w:val="24"/>
        </w:rPr>
      </w:pPr>
      <w:r>
        <w:rPr>
          <w:rFonts w:eastAsia="Calibri" w:cs="PT Astra Serif" w:ascii="PT Astra Serif" w:hAnsi="PT Astra Serif"/>
          <w:i/>
          <w:iCs/>
          <w:color w:val="auto"/>
          <w:sz w:val="24"/>
          <w:szCs w:val="24"/>
        </w:rPr>
        <w:t>3. Управление по Дальневосточному федеральному округу Центра охраны объектов промышленности (филиал) ФГУП «Охрана» Росгвардии.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PT Astra Serif" w:hAnsi="PT Astra Serif" w:eastAsia="Calibri" w:cs="PT Astra Serif"/>
          <w:i/>
          <w:i/>
          <w:iCs/>
          <w:color w:val="auto"/>
          <w:sz w:val="24"/>
          <w:szCs w:val="24"/>
        </w:rPr>
      </w:pPr>
      <w:r>
        <w:rPr>
          <w:rFonts w:eastAsia="Calibri" w:cs="PT Astra Serif" w:ascii="PT Astra Serif" w:hAnsi="PT Astra Serif"/>
          <w:i/>
          <w:iCs/>
          <w:color w:val="auto"/>
          <w:sz w:val="24"/>
          <w:szCs w:val="24"/>
        </w:rPr>
        <w:t xml:space="preserve">В результате проведения плановой проверки выявлено 11 нарушений. 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PT Astra Serif" w:hAnsi="PT Astra Serif" w:eastAsia="Calibri" w:cs="PT Astra Serif"/>
          <w:i/>
          <w:i/>
          <w:iCs/>
          <w:color w:val="auto"/>
          <w:sz w:val="24"/>
          <w:szCs w:val="24"/>
        </w:rPr>
      </w:pPr>
      <w:r>
        <w:rPr>
          <w:rFonts w:eastAsia="Calibri" w:cs="PT Astra Serif" w:ascii="PT Astra Serif" w:hAnsi="PT Astra Serif"/>
          <w:i/>
          <w:iCs/>
          <w:color w:val="auto"/>
          <w:sz w:val="24"/>
          <w:szCs w:val="24"/>
        </w:rPr>
        <w:t>В отношении 2 должностных лиц Филиала составлены протоколы об административном правонарушении предусмотренные частью 6 статьи 20.8 КоАП РФ.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PT Astra Serif" w:hAnsi="PT Astra Serif" w:eastAsia="Calibri" w:cs="PT Astra Serif"/>
          <w:color w:val="auto"/>
          <w:sz w:val="28"/>
          <w:szCs w:val="28"/>
        </w:rPr>
      </w:pPr>
      <w:r>
        <w:rPr>
          <w:rFonts w:eastAsia="Calibri" w:cs="PT Astra Serif" w:ascii="PT Astra Serif" w:hAnsi="PT Astra Serif"/>
          <w:color w:val="auto"/>
          <w:sz w:val="28"/>
          <w:szCs w:val="28"/>
        </w:rPr>
        <w:t>Общее количество выявленных нарушений обязательных требований - 29, в том числе:</w:t>
        <w:tab/>
        <w:t>предъявляемых к юридическим лицам с особыми уставными задачами — 24,  из них: к работникам подразделений охраны (прохождение медицинских осмотров, периодических проверок, дактилоскопической регистрации, соблюдение ограничений при приеме на работу) — 2;</w:t>
        <w:tab/>
        <w:t>к обороту оружия и специальных средств (соответствие имеющегося оружия и спецсредств утвержденным перечням, нормам обеспечения, соблюдение установленного порядка хранения, учета, транспортирования и использования) — 10; иных требований — 12; предъявляемых к ведомственной охране — 5.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PT Astra Serif" w:hAnsi="PT Astra Serif" w:eastAsia="Calibri" w:cs="PT Astra Serif"/>
          <w:b w:val="false"/>
          <w:b w:val="false"/>
          <w:bCs w:val="false"/>
          <w:i w:val="false"/>
          <w:i w:val="false"/>
          <w:iCs w:val="false"/>
          <w:color w:val="auto"/>
          <w:sz w:val="28"/>
          <w:szCs w:val="28"/>
          <w:lang w:eastAsia="ru-RU"/>
        </w:rPr>
      </w:pPr>
      <w:r>
        <w:rPr>
          <w:rFonts w:eastAsia="Calibri" w:cs="Times New Roman" w:ascii="PT Astra Serif" w:hAnsi="PT Astra Serif"/>
          <w:b w:val="false"/>
          <w:bCs w:val="false"/>
          <w:i w:val="false"/>
          <w:iCs w:val="false"/>
          <w:color w:val="auto"/>
          <w:sz w:val="28"/>
          <w:szCs w:val="28"/>
          <w:lang w:eastAsia="ru-RU"/>
        </w:rPr>
        <w:t xml:space="preserve">За </w:t>
      </w:r>
      <w:r>
        <w:rPr>
          <w:rFonts w:eastAsia="Calibri" w:cs="Times New Roman" w:ascii="PT Astra Serif" w:hAnsi="PT Astra Serif"/>
          <w:b w:val="false"/>
          <w:bCs w:val="false"/>
          <w:i w:val="false"/>
          <w:iCs w:val="false"/>
          <w:color w:val="auto"/>
          <w:sz w:val="28"/>
          <w:szCs w:val="28"/>
          <w:lang w:eastAsia="ru-RU"/>
        </w:rPr>
        <w:t>истекший</w:t>
      </w:r>
      <w:r>
        <w:rPr>
          <w:rFonts w:eastAsia="Calibri" w:cs="Times New Roman" w:ascii="PT Astra Serif" w:hAnsi="PT Astra Serif"/>
          <w:b w:val="false"/>
          <w:bCs w:val="false"/>
          <w:i w:val="false"/>
          <w:iCs w:val="false"/>
          <w:color w:val="auto"/>
          <w:sz w:val="28"/>
          <w:szCs w:val="28"/>
          <w:lang w:eastAsia="ru-RU"/>
        </w:rPr>
        <w:t xml:space="preserve"> период 202</w:t>
      </w:r>
      <w:r>
        <w:rPr>
          <w:rFonts w:eastAsia="Calibri" w:cs="Times New Roman" w:ascii="PT Astra Serif" w:hAnsi="PT Astra Serif"/>
          <w:b w:val="false"/>
          <w:bCs w:val="false"/>
          <w:i w:val="false"/>
          <w:iCs w:val="false"/>
          <w:color w:val="auto"/>
          <w:sz w:val="28"/>
          <w:szCs w:val="28"/>
          <w:lang w:eastAsia="ru-RU"/>
        </w:rPr>
        <w:t>5</w:t>
      </w:r>
      <w:r>
        <w:rPr>
          <w:rFonts w:eastAsia="Calibri" w:cs="Times New Roman" w:ascii="PT Astra Serif" w:hAnsi="PT Astra Serif"/>
          <w:b w:val="false"/>
          <w:bCs w:val="false"/>
          <w:i w:val="false"/>
          <w:iCs w:val="false"/>
          <w:color w:val="auto"/>
          <w:sz w:val="28"/>
          <w:szCs w:val="28"/>
          <w:lang w:eastAsia="ru-RU"/>
        </w:rPr>
        <w:t xml:space="preserve"> года руководителям подразделений ведомственной охраны </w:t>
      </w:r>
      <w:r>
        <w:rPr>
          <w:rFonts w:eastAsia="Calibri" w:cs="Times New Roman" w:ascii="PT Astra Serif" w:hAnsi="PT Astra Serif"/>
          <w:b w:val="false"/>
          <w:bCs w:val="false"/>
          <w:i w:val="false"/>
          <w:iCs w:val="false"/>
          <w:color w:val="auto"/>
          <w:sz w:val="28"/>
          <w:szCs w:val="28"/>
          <w:lang w:eastAsia="ru-RU"/>
        </w:rPr>
        <w:t xml:space="preserve">и </w:t>
      </w:r>
      <w:r>
        <w:rPr>
          <w:rFonts w:eastAsia="Calibri" w:cs="Times New Roman" w:ascii="PT Astra Serif" w:hAnsi="PT Astra Serif"/>
          <w:b w:val="false"/>
          <w:bCs w:val="false"/>
          <w:i w:val="false"/>
          <w:iCs w:val="false"/>
          <w:color w:val="auto"/>
          <w:sz w:val="28"/>
          <w:szCs w:val="28"/>
          <w:lang w:eastAsia="ru-RU"/>
        </w:rPr>
        <w:t xml:space="preserve">подразделений охраны юридических лиц с особыми уставными задачами </w:t>
      </w:r>
      <w:r>
        <w:rPr>
          <w:rFonts w:eastAsia="Calibri" w:cs="Times New Roman" w:ascii="PT Astra Serif" w:hAnsi="PT Astra Serif"/>
          <w:b w:val="false"/>
          <w:bCs w:val="false"/>
          <w:i w:val="false"/>
          <w:iCs w:val="false"/>
          <w:color w:val="auto"/>
          <w:sz w:val="28"/>
          <w:szCs w:val="28"/>
          <w:lang w:eastAsia="ru-RU"/>
        </w:rPr>
        <w:t xml:space="preserve">выдано </w:t>
      </w:r>
      <w:r>
        <w:rPr>
          <w:rFonts w:eastAsia="Calibri" w:cs="Times New Roman" w:ascii="PT Astra Serif" w:hAnsi="PT Astra Serif"/>
          <w:b/>
          <w:bCs/>
          <w:i w:val="false"/>
          <w:iCs w:val="false"/>
          <w:color w:val="auto"/>
          <w:sz w:val="28"/>
          <w:szCs w:val="28"/>
          <w:lang w:eastAsia="ru-RU"/>
        </w:rPr>
        <w:t>3</w:t>
      </w:r>
      <w:r>
        <w:rPr>
          <w:rFonts w:eastAsia="Calibri" w:cs="Times New Roman" w:ascii="PT Astra Serif" w:hAnsi="PT Astra Serif"/>
          <w:b/>
          <w:bCs/>
          <w:i w:val="false"/>
          <w:iCs w:val="false"/>
          <w:color w:val="auto"/>
          <w:sz w:val="28"/>
          <w:szCs w:val="28"/>
          <w:lang w:eastAsia="ru-RU"/>
        </w:rPr>
        <w:t xml:space="preserve"> предостережени</w:t>
      </w:r>
      <w:r>
        <w:rPr>
          <w:rFonts w:eastAsia="Calibri" w:cs="Times New Roman" w:ascii="PT Astra Serif" w:hAnsi="PT Astra Serif"/>
          <w:b/>
          <w:bCs/>
          <w:i w:val="false"/>
          <w:iCs w:val="false"/>
          <w:color w:val="auto"/>
          <w:sz w:val="28"/>
          <w:szCs w:val="28"/>
          <w:lang w:eastAsia="ru-RU"/>
        </w:rPr>
        <w:t>я</w:t>
      </w:r>
      <w:r>
        <w:rPr>
          <w:rFonts w:eastAsia="Calibri" w:cs="Times New Roman" w:ascii="PT Astra Serif" w:hAnsi="PT Astra Serif"/>
          <w:b w:val="false"/>
          <w:bCs w:val="false"/>
          <w:i w:val="false"/>
          <w:iCs w:val="false"/>
          <w:color w:val="auto"/>
          <w:sz w:val="28"/>
          <w:szCs w:val="28"/>
          <w:lang w:eastAsia="ru-RU"/>
        </w:rPr>
        <w:t xml:space="preserve"> о недопустимости </w:t>
      </w:r>
      <w:r>
        <w:rPr>
          <w:rFonts w:eastAsia="Calibri" w:cs="Times New Roman" w:ascii="PT Astra Serif" w:hAnsi="PT Astra Serif"/>
          <w:b w:val="false"/>
          <w:bCs w:val="false"/>
          <w:i w:val="false"/>
          <w:iCs w:val="false"/>
          <w:color w:val="auto"/>
          <w:sz w:val="28"/>
          <w:szCs w:val="28"/>
          <w:lang w:eastAsia="ru-RU"/>
        </w:rPr>
        <w:t xml:space="preserve">нарушений </w:t>
      </w:r>
      <w:r>
        <w:rPr>
          <w:rFonts w:eastAsia="Calibri" w:cs="Times New Roman" w:ascii="PT Astra Serif" w:hAnsi="PT Astra Serif"/>
          <w:b w:val="false"/>
          <w:bCs w:val="false"/>
          <w:i w:val="false"/>
          <w:iCs w:val="false"/>
          <w:color w:val="auto"/>
          <w:sz w:val="28"/>
          <w:szCs w:val="28"/>
          <w:lang w:eastAsia="ru-RU"/>
        </w:rPr>
        <w:t xml:space="preserve">обязательных требований </w:t>
      </w:r>
      <w:r>
        <w:rPr>
          <w:rFonts w:eastAsia="Calibri" w:cs="Times New Roman" w:ascii="PT Astra Serif" w:hAnsi="PT Astra Serif"/>
          <w:b w:val="false"/>
          <w:bCs w:val="false"/>
          <w:i w:val="false"/>
          <w:iCs w:val="false"/>
          <w:color w:val="auto"/>
          <w:sz w:val="28"/>
          <w:szCs w:val="28"/>
          <w:lang w:eastAsia="ru-RU"/>
        </w:rPr>
        <w:t>законодательных актов РФ.</w:t>
      </w:r>
    </w:p>
    <w:p>
      <w:pPr>
        <w:pStyle w:val="Normal"/>
        <w:spacing w:lineRule="auto" w:line="240" w:before="0" w:after="0"/>
        <w:ind w:firstLine="709"/>
        <w:jc w:val="both"/>
        <w:rPr>
          <w:color w:val="C9211E"/>
        </w:rPr>
      </w:pPr>
      <w:r>
        <w:rPr/>
      </w:r>
    </w:p>
    <w:sectPr>
      <w:footnotePr>
        <w:numFmt w:val="decimal"/>
      </w:footnotePr>
      <w:type w:val="nextPage"/>
      <w:pgSz w:w="11906" w:h="16838"/>
      <w:pgMar w:left="1701" w:right="991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PT Astra Serif"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Style24"/>
        <w:rPr/>
      </w:pPr>
      <w:r>
        <w:rPr>
          <w:rStyle w:val="Style16"/>
        </w:rPr>
        <w:footnoteRef/>
      </w:r>
      <w:r>
        <w:rPr/>
        <w:t xml:space="preserve"> </w:t>
      </w:r>
      <w:r>
        <w:rPr/>
        <w:t>Далее – Управление.</w:t>
      </w:r>
    </w:p>
  </w:footnote>
  <w:footnote w:id="3">
    <w:p>
      <w:pPr>
        <w:pStyle w:val="Style24"/>
        <w:rPr/>
      </w:pPr>
      <w:r>
        <w:rPr>
          <w:rStyle w:val="Style16"/>
        </w:rPr>
        <w:footnoteRef/>
      </w:r>
      <w:r>
        <w:rPr/>
        <w:t xml:space="preserve"> </w:t>
      </w:r>
      <w:r>
        <w:rPr/>
        <w:t>Далее – № 226-ФЗ.</w:t>
      </w:r>
    </w:p>
  </w:footnote>
  <w:footnote w:id="4">
    <w:p>
      <w:pPr>
        <w:pStyle w:val="Style24"/>
        <w:rPr/>
      </w:pPr>
      <w:r>
        <w:rPr>
          <w:rStyle w:val="Style16"/>
        </w:rPr>
        <w:footnoteRef/>
      </w:r>
      <w:r>
        <w:rPr/>
        <w:t xml:space="preserve"> </w:t>
      </w:r>
      <w:r>
        <w:rPr/>
        <w:t>Далее – ТЭК.</w:t>
      </w:r>
    </w:p>
  </w:footnote>
  <w:footnote w:id="5">
    <w:p>
      <w:pPr>
        <w:pStyle w:val="Style24"/>
        <w:rPr/>
      </w:pPr>
      <w:r>
        <w:rPr>
          <w:rStyle w:val="Style16"/>
        </w:rPr>
        <w:footnoteRef/>
      </w:r>
      <w:r>
        <w:rPr/>
        <w:t xml:space="preserve"> </w:t>
      </w:r>
      <w:r>
        <w:rPr/>
        <w:t>Далее – «План».</w:t>
      </w:r>
    </w:p>
  </w:footnote>
</w:footnotes>
</file>

<file path=word/settings.xml><?xml version="1.0" encoding="utf-8"?>
<w:settings xmlns:w="http://schemas.openxmlformats.org/wordprocessingml/2006/main">
  <w:zoom w:percent="222"/>
  <w:defaultTabStop w:val="708"/>
  <w:autoHyphenation w:val="true"/>
  <w:footnotePr>
    <w:numFmt w:val="decimal"/>
    <w:footnote w:id="0"/>
    <w:footnote w:id="1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сноски Знак"/>
    <w:basedOn w:val="DefaultParagraphFont"/>
    <w:link w:val="a3"/>
    <w:uiPriority w:val="99"/>
    <w:qFormat/>
    <w:rsid w:val="00542338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>
    <w:name w:val="Привязка сноски"/>
    <w:rPr>
      <w:vertAlign w:val="superscript"/>
    </w:rPr>
  </w:style>
  <w:style w:type="character" w:styleId="FootnoteCharacters">
    <w:name w:val="Footnote Characters"/>
    <w:uiPriority w:val="99"/>
    <w:qFormat/>
    <w:rsid w:val="00542338"/>
    <w:rPr>
      <w:vertAlign w:val="superscript"/>
    </w:rPr>
  </w:style>
  <w:style w:type="character" w:styleId="Style16">
    <w:name w:val="Символ сноски"/>
    <w:qFormat/>
    <w:rPr/>
  </w:style>
  <w:style w:type="character" w:styleId="Style17">
    <w:name w:val="Привязка концевой сноски"/>
    <w:rPr>
      <w:vertAlign w:val="superscript"/>
    </w:rPr>
  </w:style>
  <w:style w:type="character" w:styleId="Style18">
    <w:name w:val="Символ концевой сноски"/>
    <w:qFormat/>
    <w:rPr/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0">
    <w:name w:val="Body Text"/>
    <w:basedOn w:val="Normal"/>
    <w:pPr>
      <w:spacing w:lineRule="auto" w:line="276" w:before="0" w:after="140"/>
    </w:pPr>
    <w:rPr/>
  </w:style>
  <w:style w:type="paragraph" w:styleId="Style21">
    <w:name w:val="List"/>
    <w:basedOn w:val="Style20"/>
    <w:pPr/>
    <w:rPr>
      <w:rFonts w:ascii="PT Astra Serif" w:hAnsi="PT Astra Serif" w:cs="Noto Sans Devanagari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4">
    <w:name w:val="Footnote Text"/>
    <w:basedOn w:val="Normal"/>
    <w:link w:val="a4"/>
    <w:uiPriority w:val="99"/>
    <w:rsid w:val="00542338"/>
    <w:pPr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Application>LibreOffice/6.4.7.2$Linux_X86_64 LibreOffice_project/155c490457025f32143219b3c36f6c1abf1f2442</Application>
  <Pages>3</Pages>
  <Words>746</Words>
  <Characters>5441</Characters>
  <CharactersWithSpaces>6219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2019-06-18T06:11:00Z</dcterms:created>
  <dc:creator>User</dc:creator>
  <dc:description/>
  <dc:language>ru-RU</dc:language>
  <cp:lastModifiedBy/>
  <dcterms:modified xsi:type="dcterms:W3CDTF">2025-07-07T11:25:52Z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