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tLeast" w:line="377" w:before="0" w:after="251"/>
        <w:jc w:val="center"/>
        <w:rPr>
          <w:rFonts w:ascii="Arial" w:hAnsi="Arial" w:eastAsia="Times New Roman" w:cs="Arial"/>
          <w:color w:val="666666"/>
          <w:sz w:val="25"/>
          <w:szCs w:val="25"/>
          <w:lang w:eastAsia="ru-RU"/>
        </w:rPr>
      </w:pPr>
      <w:r>
        <w:rPr>
          <w:rFonts w:eastAsia="Times New Roman" w:cs="Arial" w:ascii="Arial" w:hAnsi="Arial"/>
          <w:b/>
          <w:bCs/>
          <w:i/>
          <w:iCs/>
          <w:color w:val="666666"/>
          <w:sz w:val="25"/>
          <w:szCs w:val="25"/>
          <w:u w:val="single"/>
          <w:lang w:eastAsia="ru-RU"/>
        </w:rPr>
        <w:t>Фе</w:t>
      </w: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деральные законы</w:t>
      </w:r>
    </w:p>
    <w:tbl>
      <w:tblPr>
        <w:tblW w:w="15869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547"/>
        <w:gridCol w:w="4407"/>
        <w:gridCol w:w="7387"/>
        <w:gridCol w:w="3527"/>
      </w:tblGrid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4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и реквизиты акта</w:t>
            </w:r>
          </w:p>
        </w:tc>
        <w:tc>
          <w:tcPr>
            <w:tcW w:w="73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52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</w:t>
            </w:r>
          </w:p>
          <w:p>
            <w:pPr>
              <w:pStyle w:val="Normal"/>
              <w:spacing w:lineRule="atLeast" w:line="289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по контролю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4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2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Федеральный закон от 21 июля 2011 г. № 256-ФЗ «О безопасности объектов топливно-энергетического комплекса»</w:t>
              </w:r>
            </w:hyperlink>
          </w:p>
        </w:tc>
        <w:tc>
          <w:tcPr>
            <w:tcW w:w="73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Юридические лица, владеющие на праве собственности или ином законном праве объектами топливно-энергетического комплекса (субъекты ТЭК)</w:t>
            </w:r>
          </w:p>
        </w:tc>
        <w:tc>
          <w:tcPr>
            <w:tcW w:w="352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b/>
          <w:b/>
          <w:bCs/>
          <w:i/>
          <w:i/>
          <w:iCs/>
          <w:color w:val="666666"/>
          <w:sz w:val="28"/>
          <w:szCs w:val="28"/>
          <w:u w:val="single"/>
          <w:lang w:val="en-US" w:eastAsia="ru-RU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val="en-US"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Указы Президента Российской Федерации, постановления и распоряжения Правительства Российской Федерации</w:t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color w:val="666666"/>
          <w:sz w:val="28"/>
          <w:szCs w:val="28"/>
          <w:lang w:eastAsia="ru-RU"/>
        </w:rPr>
      </w:pPr>
      <w:r>
        <w:rPr>
          <w:rFonts w:eastAsia="Times New Roman" w:cs="Arial" w:ascii="PT Astra Serif" w:hAnsi="PT Astra Serif"/>
          <w:color w:val="666666"/>
          <w:sz w:val="28"/>
          <w:szCs w:val="28"/>
          <w:lang w:eastAsia="ru-RU"/>
        </w:rPr>
      </w:r>
    </w:p>
    <w:tbl>
      <w:tblPr>
        <w:tblW w:w="15869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566"/>
        <w:gridCol w:w="4953"/>
        <w:gridCol w:w="3339"/>
        <w:gridCol w:w="3467"/>
        <w:gridCol w:w="3544"/>
      </w:tblGrid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документа (обозначение)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Сведения об утверждении</w:t>
            </w:r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 по контролю</w:t>
            </w:r>
          </w:p>
        </w:tc>
      </w:tr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Требования обеспечения безопасности и антитеррористической защищенности объектов топливно-энергетического комплекса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Постановление Правительства Российской Федерации от 3 августа 2022 г. № 1046 дсп</w:t>
            </w:r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ТЭК, должностные лица объектов ТЭК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Положение об исходных данных для проведения категорирования объекта топливно-энергетического комплекса, порядке его проведения и критериях категорирования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3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5 мая 2012 г. № 459</w:t>
              </w:r>
            </w:hyperlink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по актуализации паспорта безопасности объекта топливно-энергетического комплекса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4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5 мая 2012 г. № 460</w:t>
                <w:br/>
              </w:r>
            </w:hyperlink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информирования субъектами топливно-энергетического комплекса об угрозах совершения и о совершении актов незаконного вмешательства на объектах топливно-энергетического комплекса»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5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 октября 2013 г. № 861</w:t>
                <w:br/>
              </w:r>
            </w:hyperlink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 должностные лица объекта ТЭК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95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Правила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</w:t>
            </w:r>
          </w:p>
        </w:tc>
        <w:tc>
          <w:tcPr>
            <w:tcW w:w="333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6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от12 мая 2023 г. № 740</w:t>
                <w:br/>
              </w:r>
            </w:hyperlink>
          </w:p>
        </w:tc>
        <w:tc>
          <w:tcPr>
            <w:tcW w:w="34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ТЭК, должностные лица объектов ТЭК</w:t>
            </w:r>
          </w:p>
        </w:tc>
        <w:tc>
          <w:tcPr>
            <w:tcW w:w="35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7.</w:t>
            </w:r>
          </w:p>
        </w:tc>
        <w:tc>
          <w:tcPr>
            <w:tcW w:w="495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 xml:space="preserve">Порядок формирования  и ведения реестра объектов  </w:t>
            </w:r>
            <w:r>
              <w:rPr>
                <w:rFonts w:cs="Times New Roman" w:ascii="PT Astra Serif" w:hAnsi="PT Astra Serif"/>
                <w:sz w:val="28"/>
                <w:szCs w:val="28"/>
              </w:rPr>
              <w:t>топливно-энергетического   комплекса</w:t>
            </w:r>
          </w:p>
        </w:tc>
        <w:tc>
          <w:tcPr>
            <w:tcW w:w="3339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7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от 22 декабря 2011 г. № 1107</w:t>
              </w:r>
            </w:hyperlink>
          </w:p>
        </w:tc>
        <w:tc>
          <w:tcPr>
            <w:tcW w:w="346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ТЭК, должностные лица объектов ТЭК</w:t>
            </w:r>
          </w:p>
        </w:tc>
        <w:tc>
          <w:tcPr>
            <w:tcW w:w="3544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8.</w:t>
            </w:r>
          </w:p>
        </w:tc>
        <w:tc>
          <w:tcPr>
            <w:tcW w:w="495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cs="Times New Roman" w:ascii="PT Astra Serif" w:hAnsi="PT Astra Serif"/>
                <w:sz w:val="28"/>
                <w:szCs w:val="28"/>
              </w:rPr>
              <w:t>Об утверждении специальных требований к частным охранным организациям, которые вправе осуществлять физическую защиту объектов топливно-энергетического комплекса в соответствии с пунктами 2 и 3 части 4 стьатьи 9 Федерального Закона «О безопасности объектов топливно-энергетического   комплекса»</w:t>
            </w:r>
          </w:p>
          <w:p>
            <w:pPr>
              <w:pStyle w:val="Normal"/>
              <w:spacing w:lineRule="auto" w:line="240" w:before="0" w:after="335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3339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/>
            </w:pPr>
            <w:hyperlink r:id="rId8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 xml:space="preserve">Постановление Правительства Российской Федерации </w:t>
              </w:r>
            </w:hyperlink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 xml:space="preserve"> </w:t>
            </w:r>
            <w:r>
              <w:rPr>
                <w:rFonts w:cs="Times New Roman" w:ascii="PT Astra Serif" w:hAnsi="PT Astra Serif"/>
                <w:sz w:val="28"/>
                <w:szCs w:val="28"/>
              </w:rPr>
              <w:t xml:space="preserve">№ 2258 от 8 декабря 2022 года </w:t>
            </w:r>
          </w:p>
        </w:tc>
        <w:tc>
          <w:tcPr>
            <w:tcW w:w="346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ТЭК, должностные лица объектов ТЭК</w:t>
            </w:r>
          </w:p>
        </w:tc>
        <w:tc>
          <w:tcPr>
            <w:tcW w:w="3544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6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ascii="PT Astra Serif" w:hAnsi="PT Astra Serif"/>
                <w:sz w:val="28"/>
                <w:szCs w:val="28"/>
              </w:rPr>
              <w:t>9 .</w:t>
            </w:r>
          </w:p>
        </w:tc>
        <w:tc>
          <w:tcPr>
            <w:tcW w:w="495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Style22"/>
              <w:spacing w:before="0" w:after="200"/>
              <w:ind w:left="0" w:right="0" w:hang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Форма паспорта безопасности объекта </w:t>
            </w:r>
            <w:r>
              <w:rPr>
                <w:rFonts w:cs="Times New Roman" w:ascii="PT Astra Serif" w:hAnsi="PT Astra Serif"/>
                <w:sz w:val="28"/>
                <w:szCs w:val="28"/>
              </w:rPr>
              <w:t xml:space="preserve">топливно-энергетического   комплекса  </w:t>
            </w:r>
          </w:p>
        </w:tc>
        <w:tc>
          <w:tcPr>
            <w:tcW w:w="3339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hyperlink r:id="rId9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Постановление Правительства Российской Федерации № 3722-р от 3 декабря 2022 г.</w:t>
              </w:r>
            </w:hyperlink>
          </w:p>
        </w:tc>
        <w:tc>
          <w:tcPr>
            <w:tcW w:w="346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ТЭК, должностные лица объектов ТЭК</w:t>
            </w:r>
          </w:p>
        </w:tc>
        <w:tc>
          <w:tcPr>
            <w:tcW w:w="3544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b/>
          <w:b/>
          <w:bCs/>
          <w:i/>
          <w:i/>
          <w:iCs/>
          <w:color w:val="666666"/>
          <w:sz w:val="28"/>
          <w:szCs w:val="28"/>
          <w:u w:val="single"/>
          <w:lang w:val="en-US" w:eastAsia="ru-RU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val="en-US"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 w:eastAsia="Times New Roman" w:cs="Arial"/>
          <w:b/>
          <w:b/>
          <w:bCs/>
          <w:i/>
          <w:i/>
          <w:iCs/>
          <w:color w:val="666666"/>
          <w:sz w:val="28"/>
          <w:szCs w:val="28"/>
          <w:u w:val="single"/>
          <w:lang w:val="en-US" w:eastAsia="ru-RU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val="en-US"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t>Нормативные правовые акты федеральных органов исполнительной власти и нормативные документы федеральных органов исполнительной власти</w:t>
      </w:r>
    </w:p>
    <w:p>
      <w:pPr>
        <w:pStyle w:val="Normal"/>
        <w:shd w:val="clear" w:color="auto" w:fill="FFFFFF"/>
        <w:spacing w:lineRule="auto" w:line="240" w:before="0" w:after="0"/>
        <w:jc w:val="center"/>
        <w:textAlignment w:val="baseline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b/>
          <w:bCs/>
          <w:i/>
          <w:iCs/>
          <w:color w:val="666666"/>
          <w:sz w:val="28"/>
          <w:szCs w:val="28"/>
          <w:u w:val="single"/>
          <w:lang w:eastAsia="ru-RU"/>
        </w:rPr>
        <w:br/>
      </w:r>
    </w:p>
    <w:tbl>
      <w:tblPr>
        <w:tblW w:w="15869" w:type="dxa"/>
        <w:jc w:val="left"/>
        <w:tblInd w:w="119" w:type="dxa"/>
        <w:tblCellMar>
          <w:top w:w="134" w:type="dxa"/>
          <w:left w:w="134" w:type="dxa"/>
          <w:bottom w:w="134" w:type="dxa"/>
          <w:right w:w="134" w:type="dxa"/>
        </w:tblCellMar>
        <w:tblLook w:val="04a0"/>
      </w:tblPr>
      <w:tblGrid>
        <w:gridCol w:w="547"/>
        <w:gridCol w:w="6389"/>
        <w:gridCol w:w="2734"/>
        <w:gridCol w:w="3363"/>
        <w:gridCol w:w="2836"/>
      </w:tblGrid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3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Наименование документа (обозначение)</w:t>
            </w:r>
          </w:p>
        </w:tc>
        <w:tc>
          <w:tcPr>
            <w:tcW w:w="27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Сведения об утверждении</w:t>
            </w:r>
          </w:p>
        </w:tc>
        <w:tc>
          <w:tcPr>
            <w:tcW w:w="33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8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b/>
                <w:bCs/>
                <w:color w:val="666666"/>
                <w:sz w:val="28"/>
                <w:szCs w:val="28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335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3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Times New Roman" w:ascii="PT Astra Serif" w:hAnsi="PT Astra Serif"/>
                <w:color w:val="666666"/>
                <w:sz w:val="28"/>
                <w:szCs w:val="28"/>
                <w:lang w:eastAsia="ru-RU"/>
              </w:rPr>
              <w:t>Перечень работ, непосредственно связанных с обеспечением безопасности объектов топливно-энергетического комплекса</w:t>
            </w:r>
          </w:p>
        </w:tc>
        <w:tc>
          <w:tcPr>
            <w:tcW w:w="27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0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Приказ Минэнерго России от 13 декабря 2011 г. № 587</w:t>
                <w:br/>
              </w:r>
            </w:hyperlink>
          </w:p>
        </w:tc>
        <w:tc>
          <w:tcPr>
            <w:tcW w:w="33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должностные лица объектов ТЭК</w:t>
            </w:r>
          </w:p>
        </w:tc>
        <w:tc>
          <w:tcPr>
            <w:tcW w:w="28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3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Методические рекомендации по включению объектов топливно-энергетического комплекса в перечень объектов, подлежащих категорированию</w:t>
            </w:r>
          </w:p>
        </w:tc>
        <w:tc>
          <w:tcPr>
            <w:tcW w:w="27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1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Приказ Минэнерго России от 10 февраля 2012 г. № 48</w:t>
                <w:br/>
              </w:r>
            </w:hyperlink>
          </w:p>
        </w:tc>
        <w:tc>
          <w:tcPr>
            <w:tcW w:w="33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объекты ТЭК</w:t>
            </w:r>
          </w:p>
        </w:tc>
        <w:tc>
          <w:tcPr>
            <w:tcW w:w="28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  <w:tr>
        <w:trPr/>
        <w:tc>
          <w:tcPr>
            <w:tcW w:w="547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389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Форма реестра объектов топливно-энергетического комплекса и форма уведомления органа исполнительной власти субъекта Российской Федерации о включении объекта топливно-энергетического комплекса в реестр объектов топливно-энергетического комплекса (изменении сведений об объекте, содержащихся в реестре объектов топливно-энергетического комплекса, исключении объекта из реестра объектов топливно-энергетического комплекса)</w:t>
            </w:r>
          </w:p>
        </w:tc>
        <w:tc>
          <w:tcPr>
            <w:tcW w:w="2734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2">
              <w:r>
                <w:rPr>
                  <w:rFonts w:eastAsia="Times New Roman" w:cs="Arial" w:ascii="PT Astra Serif" w:hAnsi="PT Astra Serif"/>
                  <w:color w:val="666666"/>
                  <w:sz w:val="28"/>
                  <w:szCs w:val="28"/>
                  <w:lang w:eastAsia="ru-RU"/>
                </w:rPr>
                <w:t>Приказ Минэнерго России от 13 июня 2012 г. № 295</w:t>
                <w:br/>
              </w:r>
            </w:hyperlink>
          </w:p>
        </w:tc>
        <w:tc>
          <w:tcPr>
            <w:tcW w:w="3363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Субъекты ТЭК,</w:t>
              <w:br/>
              <w:t>должностные лица объектов ТЭК</w:t>
            </w:r>
          </w:p>
        </w:tc>
        <w:tc>
          <w:tcPr>
            <w:tcW w:w="2836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PT Astra Serif" w:hAnsi="PT Astra Serif"/>
                <w:sz w:val="28"/>
                <w:szCs w:val="28"/>
              </w:rPr>
            </w:pPr>
            <w:r>
              <w:rPr>
                <w:rFonts w:eastAsia="Times New Roman" w:cs="Arial" w:ascii="PT Astra Serif" w:hAnsi="PT Astra Serif"/>
                <w:color w:val="666666"/>
                <w:sz w:val="28"/>
                <w:szCs w:val="28"/>
                <w:lang w:eastAsia="ru-RU"/>
              </w:rPr>
              <w:t>Весь акт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both"/>
        <w:rPr>
          <w:rFonts w:ascii="PT Astra Serif" w:hAnsi="PT Astra Serif" w:eastAsia="Times New Roman" w:cs="Arial"/>
          <w:i/>
          <w:i/>
          <w:iCs/>
          <w:color w:val="666666"/>
          <w:sz w:val="28"/>
          <w:szCs w:val="28"/>
          <w:lang w:val="en-US" w:eastAsia="ru-RU"/>
        </w:rPr>
      </w:pPr>
      <w:r>
        <w:rPr>
          <w:rFonts w:eastAsia="Times New Roman" w:cs="Arial" w:ascii="PT Astra Serif" w:hAnsi="PT Astra Serif"/>
          <w:i/>
          <w:iCs/>
          <w:color w:val="666666"/>
          <w:sz w:val="28"/>
          <w:szCs w:val="28"/>
          <w:lang w:val="en-US"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PT Astra Serif" w:hAnsi="PT Astra Serif"/>
          <w:sz w:val="28"/>
          <w:szCs w:val="28"/>
        </w:rPr>
      </w:pPr>
      <w:r>
        <w:rPr>
          <w:rFonts w:eastAsia="Times New Roman" w:cs="Arial" w:ascii="PT Astra Serif" w:hAnsi="PT Astra Serif"/>
          <w:i/>
          <w:iCs/>
          <w:color w:val="666666"/>
          <w:sz w:val="28"/>
          <w:szCs w:val="28"/>
          <w:lang w:eastAsia="ru-RU"/>
        </w:rPr>
        <w:t>Примечание. Обязательные требования, соблюдение которых оценивается при проведении мероприятий по контролю при осуществлении федерального государственного контроля (надзора) за обеспечением безопасности объектов топливно-энергетического комплекса, могут быть также установлены иными нормативными документами (актами). 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09" w:right="962" w:header="0" w:top="568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c733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semiHidden/>
    <w:unhideWhenUsed/>
    <w:rsid w:val="00d848fa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d848fa"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d848f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paragraph" w:styleId="Style22">
    <w:name w:val="Body Text Indent"/>
    <w:basedOn w:val="Normal"/>
    <w:qFormat/>
    <w:pPr>
      <w:ind w:left="0" w:right="0" w:firstLine="709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rosgvard.ru/uploads/2018/03/1-federalnyj-zakon-ot-21072011-n-256fz.docx" TargetMode="External"/><Relationship Id="rId3" Type="http://schemas.openxmlformats.org/officeDocument/2006/relationships/hyperlink" Target="http://www.rosgvard.ru/uploads/2018/03/2-postanovlenie-pravitelstva-rf-ot-05052012-n-459.docx" TargetMode="External"/><Relationship Id="rId4" Type="http://schemas.openxmlformats.org/officeDocument/2006/relationships/hyperlink" Target="http://www.rosgvard.ru/uploads/2018/03/3-postanovlenie-pravitelstva-rf-ot-05052012-n-460.docx" TargetMode="External"/><Relationship Id="rId5" Type="http://schemas.openxmlformats.org/officeDocument/2006/relationships/hyperlink" Target="http://www.rosgvard.ru/uploads/2018/03/4-postanovlenie-pravitelstva-rf-ot-02102013-n-861.docx" TargetMode="External"/><Relationship Id="rId6" Type="http://schemas.openxmlformats.org/officeDocument/2006/relationships/hyperlink" Target="http://www.rosgvard.ru/uploads/2018/03/6-postanovlenie-pravitelstva-rf-ot-20102016-n-1067.docx" TargetMode="External"/><Relationship Id="rId7" Type="http://schemas.openxmlformats.org/officeDocument/2006/relationships/hyperlink" Target="http://www.rosgvard.ru/uploads/2018/03/6-postanovlenie-pravitelstva-rf-ot-20102016-n-1067.docx" TargetMode="External"/><Relationship Id="rId8" Type="http://schemas.openxmlformats.org/officeDocument/2006/relationships/hyperlink" Target="http://www.rosgvard.ru/uploads/2018/03/6-postanovlenie-pravitelstva-rf-ot-20102016-n-1067.docx" TargetMode="External"/><Relationship Id="rId9" Type="http://schemas.openxmlformats.org/officeDocument/2006/relationships/hyperlink" Target="http://www.rosgvard.ru/uploads/2018/03/6-postanovlenie-pravitelstva-rf-ot-20102016-n-1067.docx" TargetMode="External"/><Relationship Id="rId10" Type="http://schemas.openxmlformats.org/officeDocument/2006/relationships/hyperlink" Target="http://www.rosgvard.ru/uploads/2018/03/1-prikaz-minenergo-rf-ot-13122011-n-587.docx" TargetMode="External"/><Relationship Id="rId11" Type="http://schemas.openxmlformats.org/officeDocument/2006/relationships/hyperlink" Target="http://www.rosgvard.ru/uploads/2018/03/2-prikaz-minenergo-rossii-ot-10022012-n-48.docx" TargetMode="External"/><Relationship Id="rId12" Type="http://schemas.openxmlformats.org/officeDocument/2006/relationships/hyperlink" Target="http://www.rosgvard.ru/uploads/2018/03/3-prikaz-minenergo-rossii-ot-13062012-n-295.docx" TargetMode="Externa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3990</TotalTime>
  <Application>LibreOffice/6.4.7.2$Linux_X86_64 LibreOffice_project/40$Build-2</Application>
  <Pages>4</Pages>
  <Words>589</Words>
  <Characters>4288</Characters>
  <CharactersWithSpaces>4819</CharactersWithSpaces>
  <Paragraphs>79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2019-06-14T06:30:00Z</dcterms:created>
  <dc:creator>User</dc:creator>
  <dc:description/>
  <dc:language>ru-RU</dc:language>
  <cp:lastModifiedBy/>
  <dcterms:modified xsi:type="dcterms:W3CDTF">2024-10-14T10:10:05Z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