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практики осуществления Управлением Росгвардии 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 Приморскому краю государственного контроля в установленных сферах за 1 полугодие 2023 года.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Федеральный государственный контроль (надзор) за обеспечением безопасности объектов топливно-энергетического комплекса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  Управление Федеральной службы войск национальной гвардии Российской Федерации по Приморскому краю</w:t>
      </w:r>
      <w:r>
        <w:rPr>
          <w:rStyle w:val="Style15"/>
          <w:rFonts w:eastAsia="Times New Roman" w:cs="Times New Roman" w:ascii="Times New Roman" w:hAnsi="Times New Roman"/>
          <w:sz w:val="28"/>
          <w:szCs w:val="28"/>
          <w:vertAlign w:val="superscript"/>
          <w:lang w:eastAsia="ru-RU"/>
        </w:rPr>
        <w:footnoteReference w:id="2"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, согласно статьи 2 Федерального закона от 3 июля 2016 г. № 226-ФЗ «О войсках национальной гвардии Российской Федерации»</w:t>
      </w:r>
      <w:r>
        <w:rPr>
          <w:rStyle w:val="Style15"/>
          <w:rFonts w:eastAsia="Times New Roman" w:cs="Times New Roman" w:ascii="Times New Roman" w:hAnsi="Times New Roman"/>
          <w:sz w:val="28"/>
          <w:szCs w:val="28"/>
          <w:vertAlign w:val="superscript"/>
          <w:lang w:eastAsia="ru-RU"/>
        </w:rPr>
        <w:footnoteReference w:id="3"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, возложен федеральный государственный контроль (надзор) за обеспечением безопасности объектов топливно-энергетического комплекса</w:t>
      </w:r>
      <w:r>
        <w:rPr>
          <w:rStyle w:val="Style15"/>
          <w:rFonts w:eastAsia="Times New Roman" w:cs="Times New Roman" w:ascii="Times New Roman" w:hAnsi="Times New Roman"/>
          <w:sz w:val="28"/>
          <w:szCs w:val="28"/>
          <w:vertAlign w:val="superscript"/>
          <w:lang w:eastAsia="ru-RU"/>
        </w:rPr>
        <w:footnoteReference w:id="4"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На территории Приморского края расположено 36 объектов топливно-энергетического комплекса,  включенных в перечень объектов, подлежащих категорированию, утвержденный Председателем антитеррористической комиссии Приморского края. Всем объектам, включенным в указанный перечень, присвоена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соответствующая</w:t>
      </w:r>
      <w:r>
        <w:rPr>
          <w:rFonts w:eastAsia="Calibri" w:cs="Times New Roman" w:ascii="Times New Roman" w:hAnsi="Times New Roman"/>
          <w:sz w:val="28"/>
          <w:szCs w:val="28"/>
        </w:rPr>
        <w:t xml:space="preserve"> категория опасности. По категориям опасности: высокой - нет, средней – 13, низкой – 22.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С председателем антитеррористической комиссии Приморского края  согласован План проведения Управлением Росгвардии по Приморскому краю проверок объектов ТЭК на 2023 год</w:t>
      </w:r>
      <w:r>
        <w:rPr>
          <w:rStyle w:val="Style15"/>
          <w:rFonts w:eastAsia="Calibri" w:cs="Times New Roman" w:ascii="Times New Roman" w:hAnsi="Times New Roman"/>
          <w:sz w:val="28"/>
          <w:szCs w:val="28"/>
          <w:vertAlign w:val="superscript"/>
        </w:rPr>
        <w:footnoteReference w:id="5"/>
      </w:r>
      <w:r>
        <w:rPr>
          <w:rFonts w:eastAsia="Calibri" w:cs="Times New Roman" w:ascii="Times New Roman" w:hAnsi="Times New Roman"/>
          <w:sz w:val="28"/>
          <w:szCs w:val="28"/>
        </w:rPr>
        <w:t xml:space="preserve">. 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color w:val="auto"/>
          <w:sz w:val="28"/>
          <w:szCs w:val="28"/>
        </w:rPr>
        <w:t xml:space="preserve">На основании Плана в текущем году планируется провести </w:t>
      </w:r>
      <w:r>
        <w:rPr>
          <w:rFonts w:eastAsia="Calibri" w:cs="Times New Roman" w:ascii="Times New Roman" w:hAnsi="Times New Roman"/>
          <w:b w:val="false"/>
          <w:bCs w:val="false"/>
          <w:color w:val="auto"/>
          <w:sz w:val="28"/>
          <w:szCs w:val="28"/>
        </w:rPr>
        <w:t>13 проверок объектов ТЭК, расположенных на территории Приморского кра</w:t>
      </w:r>
      <w:r>
        <w:rPr>
          <w:rFonts w:eastAsia="Calibri" w:cs="Times New Roman" w:ascii="Times New Roman" w:hAnsi="Times New Roman"/>
          <w:color w:val="auto"/>
          <w:sz w:val="28"/>
          <w:szCs w:val="28"/>
        </w:rPr>
        <w:t xml:space="preserve">я: </w:t>
      </w:r>
      <w:r>
        <w:rPr>
          <w:rFonts w:eastAsia="Calibri" w:cs="Times New Roman" w:ascii="Times New Roman" w:hAnsi="Times New Roman"/>
          <w:i w:val="false"/>
          <w:iCs w:val="false"/>
          <w:color w:val="auto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Административное здание, производственные помещения, территория филиал ОАО "СО ЕЭС" - "Приморское РДУ", Котельный цех № 1 г. Владивосток, Мини-ТЭЦ «Центральная», В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</w:rPr>
        <w:t xml:space="preserve">ольно-Надеждинская нефтебаза, 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Котельный цех № 2 г. Владивосток, Котельная № 1 г. Фокино, П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</w:rPr>
        <w:t xml:space="preserve">одстанция 500 кВ "Чугуевка-2", 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ТЭЦ «Восточная», ПС 500 кВ «Владивосток», В</w:t>
      </w:r>
      <w:r>
        <w:rPr>
          <w:rFonts w:eastAsia="Calibri" w:cs="Times New Roman" w:ascii="Times New Roman" w:hAnsi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</w:rPr>
        <w:t>ладивостокская нефтебаза, Морской нефтеналивной терминал «РН-Морской терминал Находка», ООО "Приморская ГРЭС", Топливно-заправочный комплекс в  аэропорту  «Кневичи».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За отчетный период в рамках осуществления федерального государственного контроля проведено 7 плановых проверок объектов ТЭК, что составляет 100% от запланированных.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Составлено 7 актов проверок, внесено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Times New Roman" w:ascii="Times New Roman" w:hAnsi="Times New Roman"/>
          <w:sz w:val="28"/>
          <w:szCs w:val="28"/>
        </w:rPr>
        <w:t xml:space="preserve"> предписаний. </w:t>
      </w: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>Составлено 3 прот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en-US"/>
        </w:rPr>
        <w:t>окола об административном правонарушении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u w:val="none"/>
          <w:lang w:val="ru-RU" w:eastAsia="en-US" w:bidi="ar-SA"/>
        </w:rPr>
        <w:t>, ответственность за которое предусмотрена ч. 1 ст. 20.30 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КоАП РФ, 2 протокола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u w:val="none"/>
          <w:lang w:val="ru-RU" w:eastAsia="en-US" w:bidi="ar-SA"/>
        </w:rPr>
        <w:t>об административном правонарушении, ответственность за которое предусмотрена ч. 2 ст. 20.30 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КоАП РФ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целях осуществления контроля за обеспечением безопасности объектов ТЭК п</w:t>
      </w:r>
      <w:r>
        <w:rPr>
          <w:rFonts w:eastAsia="Calibri" w:cs="Times New Roman" w:ascii="Times New Roman" w:hAnsi="Times New Roman"/>
          <w:sz w:val="28"/>
          <w:szCs w:val="28"/>
        </w:rPr>
        <w:t>роверкам подверглись: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>1.  «Приморское РДУ» филиал ОАО «СО ЕЭС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eastAsia="en-US"/>
        </w:rPr>
        <w:t xml:space="preserve">»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(низкая категория опасности).   </w:t>
      </w:r>
    </w:p>
    <w:p>
      <w:pPr>
        <w:pStyle w:val="Normal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При проведении внеплановой проверки вышеупомянутого объекта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val="ru-RU" w:eastAsia="zh-CN" w:bidi="ar-SA"/>
        </w:rPr>
        <w:t>нарушений не выявлено.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2.  «Котельный цех № 1» филиал «Приморская генерация» АО «ДГК» (средняя категория опасности).   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При проведении плановой проверки вышеупомянутого объекта выявлено 8 нарушений обязательных требований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val="ru-RU" w:eastAsia="zh-CN" w:bidi="ar-SA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3. Мини ТЭЦ «Центральная» (низкая категория опасности).   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При проведении плановой проверки вышеупомянутого объекта выявлено 1 нарушение обязательных требований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val="ru-RU" w:eastAsia="zh-CN" w:bidi="ar-SA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4. Вольно - Надеждинская нефтебаза филиала № 4 ООО «Востокнефтепродукт» (низкая категория опасности).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</w:rPr>
        <w:t>При проведении плановой проверки вышеупомянутого объекта выявлено 1 нарушение обязательных требований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5. «Котельный цех № 2 г. Владивосток» АО «ДГК» (средняя категории опасности).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При проведении плановой проверки вышеупомянутого объекта выявлено 9 нарушений обязательных требований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6. Котельная № 1 г. Фокино КГУП «Примтеплоэнерго» (низкая категория опасности).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При проведении плановой проверки вышеупомянутого объекта выявлено 22 нарушения обязательных требований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7. ПС 500 кВ «Чугуевка-2» филиал «Приморское предприятие магистральных электрических сетей» ПАО «ФСК ЕЭС» (средняя категория опасности).</w:t>
      </w:r>
    </w:p>
    <w:p>
      <w:pPr>
        <w:pStyle w:val="Normal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При проведении внеплановой проверки вышеупомянутого объекта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val="ru-RU" w:eastAsia="zh-CN" w:bidi="ar-SA"/>
        </w:rPr>
        <w:t>нарушений не выявлено.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При проведении проверок выявлено 41 нарушение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     № 458 дсп.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Основными нарушениями обязательных требований,  выявленными в результате проведенных проверок сотрудниками Управления,  являются требования: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построению физической защиты объекта–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>из них: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инженерно-техническим средствам охраны 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38</w:t>
      </w:r>
      <w:r>
        <w:rPr>
          <w:rFonts w:eastAsia="Calibri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>из них: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>к инженерно-техническим средствам защиты – 22;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системе охранной сигнализации объекта 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>к системе контроля и управления доступом – 2;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специальным техническим средствам досмотра 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eastAsia="Calibri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системе охранной телевизионной 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системе охранного освещения –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</w:t>
      </w:r>
      <w:r>
        <w:rPr>
          <w:rFonts w:eastAsia="Calibri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   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к системе электропитания – 1.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Выявление указанных нарушений позволяет сделать вывод о частичном несоответствии, предъявляемым требованиям  по обеспечению безопасности и антитеррористической защищенности вышеуказанных объектов.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В предписаниях собственникам даны конкретные указания по проведению мероприятий, направленных на укрепление защищенности объектов от криминальных угроз и террористических проявлений, а именно: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•   </w:t>
      </w:r>
      <w:r>
        <w:rPr>
          <w:rFonts w:eastAsia="Calibri" w:cs="Times New Roman" w:ascii="Times New Roman" w:hAnsi="Times New Roman"/>
          <w:sz w:val="28"/>
          <w:szCs w:val="28"/>
        </w:rPr>
        <w:t>строительство и модернизация защитных и инженерно-технических сооружений;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• </w:t>
      </w:r>
      <w:r>
        <w:rPr>
          <w:rFonts w:eastAsia="Calibri" w:cs="Times New Roman" w:ascii="Times New Roman" w:hAnsi="Times New Roman"/>
          <w:sz w:val="28"/>
          <w:szCs w:val="28"/>
        </w:rPr>
        <w:t xml:space="preserve">совершенствование физических барьеров и препятствий, систем контроля и управления доступом;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• </w:t>
      </w:r>
      <w:r>
        <w:rPr>
          <w:rFonts w:eastAsia="Calibri" w:cs="Times New Roman" w:ascii="Times New Roman" w:hAnsi="Times New Roman"/>
          <w:sz w:val="28"/>
          <w:szCs w:val="28"/>
        </w:rPr>
        <w:t>совершенствование  систем  обнаружения   проникновения нарушителей;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• </w:t>
      </w:r>
      <w:r>
        <w:rPr>
          <w:rFonts w:eastAsia="Calibri" w:cs="Times New Roman" w:ascii="Times New Roman" w:hAnsi="Times New Roman"/>
          <w:sz w:val="28"/>
          <w:szCs w:val="28"/>
        </w:rPr>
        <w:t>совершенствование   систем  телевизионного  наблюдения, технических средств предупреждения и воздействия;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•   </w:t>
      </w:r>
      <w:r>
        <w:rPr>
          <w:rFonts w:eastAsia="Calibri" w:cs="Times New Roman" w:ascii="Times New Roman" w:hAnsi="Times New Roman"/>
          <w:sz w:val="28"/>
          <w:szCs w:val="28"/>
        </w:rPr>
        <w:t>совершенствование системы электропитания.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Сроки для устранения нарушений  хозяйствующими субъектами, устанавливаются в соответствии с требованиями Административного регламента исполнения государственной функции по осуществлению федерального контроля (надзора) за обеспечением безопасности объектов ТЭК, в случае невозможности исполнения предписания об устранении выявленных нарушений субъект ТЭК вправе обратиться с мотивированным обращением о продлении срока исполнения предписания, но не более чем на один год.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Проведен анализ причин и условий, способствующих  неисполнению субъектами ТЭК предписаний об устранении выявленных нарушений, выдаваемых Управлением по итогам плановых проверок.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За истекший период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Times New Roman" w:ascii="Times New Roman" w:hAnsi="Times New Roman"/>
          <w:sz w:val="28"/>
          <w:szCs w:val="28"/>
        </w:rPr>
        <w:t xml:space="preserve"> года проведено 4 внеплановые проверки с целью осуществления контроля за устранением ранее выявленных нарушений, указанных в предписаниях Управления: 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1. Уссурийская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 xml:space="preserve"> нефтебаза АО «ННК-Приморнефтепродукт»</w:t>
      </w: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 (низкая категория опасности).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При проведении внеплановой проверки объекта установленно, что  не выполнено в срок 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zh-CN" w:bidi="ar-SA"/>
        </w:rPr>
        <w:t>12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 пунктов предписания (выполнено 2 пункта).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2. Т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опливно - заправочный комплекс в аэропорту «Кневичи» ООО «РН-АЭРО»</w:t>
      </w:r>
      <w:r>
        <w:rPr>
          <w:rFonts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 (низкая категория опасности).  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При проведении внеплановой проверки объекта установленно, что не выполнено в срок 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zh-CN" w:bidi="ar-SA"/>
        </w:rPr>
        <w:t>5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 пунктов предписания (выполнено 0).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 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3. Уссурийская газонаполнительная станция АО «Приморский газ» (низкая категория опасности).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При проведении внеплановой проверки объекта установленно, что  не выполнено в срок 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zh-CN" w:bidi="ar-SA"/>
        </w:rPr>
        <w:t>17</w:t>
      </w:r>
      <w:r>
        <w:rPr>
          <w:rFonts w:eastAsia="PT Astra Serif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 пунктов предписания (выполнено 4 пункта).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4.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Арсеньевская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газонаполнительная станция АО «Приморский газ» (низкая категория опасности).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При проведении внеплановой проверки объекта установлено, что не выполнено в срок 13 пунктов предписания (выполнено 3 пункта).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По итогам проведенных внеплановых проверок в составлено 2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протокола об административном правонарушении,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u w:val="none"/>
          <w:lang w:val="ru-RU" w:eastAsia="en-US" w:bidi="ar-SA"/>
        </w:rPr>
        <w:t>ответственность за которое предусмотрена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ч. 36 ст.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19.5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КоАП РФ и 2 протокола об административном правонарушении,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u w:val="none"/>
          <w:lang w:val="ru-RU" w:eastAsia="en-US" w:bidi="ar-SA"/>
        </w:rPr>
        <w:t>ответственность за которое предусмотрена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ч. 37 ст.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19.5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КоАП РФ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en-US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рамках осуществления своих полномочий сотрудники Управления Росгвардии по Приморскому краю в текущем году  приняли  участие в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eastAsia="Calibri" w:cs="Times New Roman" w:ascii="Times New Roman" w:hAnsi="Times New Roman"/>
          <w:sz w:val="28"/>
          <w:szCs w:val="28"/>
        </w:rPr>
        <w:t xml:space="preserve"> межведомственном обследовании объектов топливно-энергетического комплекса на предмет выявления уязвимых мест, потенциально опасных участков и критических элементов. По результатам проведенного обследования составлен соответствующий акт, даны рекомендации по устранению выявленных недостатков.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Необходимо отметить участие сотрудников Управления в работе комиссий по категорированию объектов ТЭК и актуализации паспортов безопасности. Так за 6 месяцев т. г. п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роведено 1 обследование на предмет категорирования объектов ТЭК, актуализирован 1 паспорт безопасности.</w:t>
      </w:r>
      <w:r>
        <w:rPr>
          <w:rFonts w:eastAsia="Calibri" w:cs="Times New Roman" w:ascii="Times New Roman" w:hAnsi="Times New Roman"/>
          <w:sz w:val="28"/>
          <w:szCs w:val="28"/>
        </w:rPr>
        <w:t xml:space="preserve"> 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Во исполнение требований постановления Правительства Российской Федерации от 05 мая 2012 г. № 460 «Об утверждении Правил актуализации паспорта безопасности объекта ТЭК» в адрес Управления Росгвардии по Приморскому краю, представляются экземпляры актуализированных паспортов безопасности, либо письменное уведомление об отсутствии оснований для актуализации паспорта безопасности (всего: экземпляров-36).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Ежеквартально в антитеррористическую комиссию направляется информация о  результатах проведенных проверок объектов ТЭК  и основных недостатках в обеспечении безопасности объектов данной категории выявленных  в ходе проверок.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За текущий период 2023 года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руководителям субъектов ТЭК предостережений о недопустимости нарушений обязательных требований законодательных актов РФ не выдавалось.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  <w:color w:val="000000"/>
        </w:rPr>
      </w:pPr>
      <w:r>
        <w:rPr>
          <w:rFonts w:eastAsia="Calibri" w:cs="Times New Roman" w:ascii="Times New Roman" w:hAnsi="Times New Roman"/>
          <w:b/>
          <w:bCs/>
          <w:color w:val="000000"/>
          <w:sz w:val="28"/>
          <w:szCs w:val="28"/>
        </w:rPr>
        <w:t>Контроль за деятельностью подразделений охраны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  <w:color w:val="000000"/>
        </w:rPr>
      </w:pPr>
      <w:r>
        <w:rPr>
          <w:rFonts w:eastAsia="Calibri"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color w:val="000000"/>
          <w:sz w:val="28"/>
          <w:szCs w:val="28"/>
        </w:rPr>
        <w:t xml:space="preserve">юридических лиц с особыми уставными задачами 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  <w:color w:val="000000"/>
        </w:rPr>
      </w:pPr>
      <w:r>
        <w:rPr>
          <w:rFonts w:eastAsia="Calibri" w:cs="Times New Roman" w:ascii="Times New Roman" w:hAnsi="Times New Roman"/>
          <w:b/>
          <w:bCs/>
          <w:color w:val="000000"/>
          <w:sz w:val="28"/>
          <w:szCs w:val="28"/>
        </w:rPr>
        <w:t xml:space="preserve">и подразделений ведомственной охраны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val="000000"/>
        </w:rPr>
      </w:pPr>
      <w:r>
        <w:rPr>
          <w:rFonts w:eastAsia="Calibri" w:cs="Times New Roman"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val="000000"/>
        </w:rPr>
      </w:pPr>
      <w:r>
        <w:rPr>
          <w:rFonts w:eastAsia="Calibri" w:cs="Times New Roman" w:ascii="Times New Roman" w:hAnsi="Times New Roman"/>
          <w:color w:val="000000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 территории Приморского края осуществляют охранную деятельность </w:t>
      </w:r>
      <w:r>
        <w:rPr>
          <w:rFonts w:ascii="Times New Roman" w:hAnsi="Times New Roman"/>
          <w:color w:val="000000"/>
          <w:sz w:val="28"/>
          <w:szCs w:val="28"/>
        </w:rPr>
        <w:t>6</w:t>
      </w:r>
      <w:r>
        <w:rPr>
          <w:rFonts w:ascii="Times New Roman" w:hAnsi="Times New Roman"/>
          <w:color w:val="000000"/>
          <w:sz w:val="28"/>
          <w:szCs w:val="28"/>
        </w:rPr>
        <w:t xml:space="preserve"> подразделений ведомственной охраны, </w:t>
      </w:r>
      <w:r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подразделений охраны юридических лиц с особыми уставными задачами.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 пунктом 7 части 1 статьи 2 Федерального закона от 03 июля 2016 г. № 226-ФЗ «О войсках национальной гвардии Российской Федерации», а также планом проведения Управлением Росгвардии по Приморскому краю плановых проверок юридических лиц и индивидуальных предпринимателей на 202</w:t>
      </w:r>
      <w:r>
        <w:rPr>
          <w:rFonts w:ascii="Times New Roman" w:hAnsi="Times New Roman"/>
          <w:color w:val="000000"/>
          <w:sz w:val="28"/>
          <w:szCs w:val="28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год запланировано проведение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2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проверок юр</w:t>
      </w:r>
      <w:r>
        <w:rPr>
          <w:rFonts w:ascii="Times New Roman" w:hAnsi="Times New Roman"/>
          <w:color w:val="000000"/>
          <w:sz w:val="28"/>
          <w:szCs w:val="28"/>
        </w:rPr>
        <w:t>идических лиц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</w:rPr>
        <w:t>филиала ФГУП «Охрана» Росгвардии по Приморскому краю, Приморск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</w:rPr>
        <w:t>ого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</w:rPr>
        <w:t xml:space="preserve"> филиал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</w:rPr>
        <w:t>а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</w:rPr>
        <w:t xml:space="preserve"> ФГУП «Управление ведомственной охраны Министерства транспорта Российской Федерации».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  <w:color w:val="000000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За отчетный период в рамках осуществления федерального государственного контроля проверок юридических лиц</w:t>
      </w:r>
      <w:r>
        <w:rPr>
          <w:rFonts w:eastAsia="Calibri" w:cs="PT Astra Serif" w:ascii="Times New Roman" w:hAnsi="Times New Roman"/>
          <w:b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на предмет наличия законных оснований для выполнения функций по охране объектов, учредительных и разрешительных документов, соблюдения требований законодательных и иных нормативных правовых актов, регламентирующих охранную деятельность и оборот оружия проведен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а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1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планов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ая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провер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ка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(100 % от запланированного)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.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Составлен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акт провер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ки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.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Внесено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обязательн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ое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для исполнения предписани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е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Протоколов предусмотренных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КоАП РФ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не составлялось.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color w:val="000000"/>
          <w:sz w:val="28"/>
          <w:szCs w:val="28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1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.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С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6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февраля по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3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марта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202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3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г. пр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оведена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планов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ая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выездная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проверк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а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филиала ФГУП «Охрана» Росгвардии по Приморскому краю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 w:eastAsia="Calibri" w:cs="PT Astra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В результате проведенной проверки выявлено 1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8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 xml:space="preserve"> нарушений.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autoSpaceDE w:val="false"/>
        <w:spacing w:lineRule="auto" w:line="240" w:before="0" w:after="0"/>
        <w:ind w:left="0" w:right="0" w:firstLine="709"/>
        <w:jc w:val="both"/>
        <w:rPr>
          <w:rFonts w:ascii="Times New Roman" w:hAnsi="Times New Roman" w:cs="PT Astra Serif"/>
          <w:b w:val="false"/>
          <w:b w:val="false"/>
          <w:bCs w:val="false"/>
          <w:i w:val="false"/>
          <w:i w:val="false"/>
          <w:iCs w:val="false"/>
          <w:color w:val="000000"/>
          <w:sz w:val="28"/>
          <w:szCs w:val="28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По результатам проведённой проверки составлен акт проверки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и предписание об устранении выявленных нарушений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в двух экземплярах по установленной форме с последующим вручением одного экземпляра уполномоченному представителю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юридического лица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.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 w:eastAsia="Calibri" w:cs="PT Astra Serif"/>
          <w:b w:val="false"/>
          <w:b w:val="false"/>
          <w:bCs w:val="false"/>
          <w:i w:val="false"/>
          <w:i w:val="false"/>
          <w:iCs w:val="false"/>
          <w:color w:val="000000"/>
          <w:sz w:val="28"/>
          <w:szCs w:val="28"/>
          <w:lang w:eastAsia="ru-RU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За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истекший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период 202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3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года руководителям подразделений ведомственной охраны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и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подразделений охраны юридических лиц с особыми уставными задачами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выдано 1 предостережение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о недопустимости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нарушений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обязательных требований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законодательных актов РФ </w:t>
      </w:r>
      <w:r>
        <w:rPr>
          <w:rFonts w:eastAsia="Times New Roman" w:cs="PT Astra Serif" w:ascii="Times New Roman" w:hAnsi="Times New Roman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  <w:lang w:val="ru-RU" w:eastAsia="zh-CN" w:bidi="ar-SA"/>
        </w:rPr>
        <w:t>(предостережение исполнено)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z w:val="28"/>
          <w:szCs w:val="28"/>
          <w:highlight w:val="white"/>
          <w:u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  <w:lang w:val="ru-RU" w:eastAsia="zh-CN" w:bidi="ar-SA"/>
        </w:rPr>
        <w:t>Штатная численность отдела государственного контроля Управления составляет 8 человек. Укомплектованность 100%.</w:t>
      </w:r>
    </w:p>
    <w:sectPr>
      <w:footnotePr>
        <w:numFmt w:val="decimal"/>
      </w:footnotePr>
      <w:type w:val="nextPage"/>
      <w:pgSz w:w="11906" w:h="16838"/>
      <w:pgMar w:left="1701" w:right="991" w:header="0" w:top="805" w:footer="0" w:bottom="963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Управление.</w:t>
      </w:r>
    </w:p>
  </w:footnote>
  <w:footnote w:id="3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№ 226-ФЗ.</w:t>
      </w:r>
    </w:p>
  </w:footnote>
  <w:footnote w:id="4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ТЭК.</w:t>
      </w:r>
    </w:p>
  </w:footnote>
  <w:footnote w:id="5">
    <w:p>
      <w:pPr>
        <w:pStyle w:val="Style24"/>
        <w:rPr/>
      </w:pPr>
      <w:r>
        <w:rPr>
          <w:rStyle w:val="Style16"/>
        </w:rPr>
        <w:footnoteRef/>
      </w:r>
      <w:r>
        <w:rPr/>
        <w:t xml:space="preserve"> </w:t>
      </w:r>
      <w:r>
        <w:rPr/>
        <w:t>Далее – «План».</w:t>
      </w:r>
    </w:p>
  </w:footnote>
</w:footnotes>
</file>

<file path=word/settings.xml><?xml version="1.0" encoding="utf-8"?>
<w:settings xmlns:w="http://schemas.openxmlformats.org/wordprocessingml/2006/main">
  <w:zoom w:percent="11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uiPriority w:val="99"/>
    <w:qFormat/>
    <w:rsid w:val="0054233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uiPriority w:val="99"/>
    <w:qFormat/>
    <w:rsid w:val="00542338"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4">
    <w:name w:val="Footnote Text"/>
    <w:basedOn w:val="Normal"/>
    <w:link w:val="a4"/>
    <w:uiPriority w:val="99"/>
    <w:rsid w:val="00542338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Application>LibreOffice/6.4.7.2$Linux_X86_64 LibreOffice_project/40$Build-2</Application>
  <Pages>5</Pages>
  <Words>1302</Words>
  <Characters>9593</Characters>
  <CharactersWithSpaces>10956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2019-06-18T06:11:00Z</dcterms:created>
  <dc:creator>User</dc:creator>
  <dc:description/>
  <dc:language>ru-RU</dc:language>
  <cp:lastModifiedBy/>
  <dcterms:modified xsi:type="dcterms:W3CDTF">2023-06-30T10:59:46Z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