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АНАЛИЗ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практики осуществления Управлением Росгвардии 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по Приморскому краю</w:t>
      </w:r>
      <w:r>
        <w:rPr>
          <w:rStyle w:val="Style15"/>
          <w:rFonts w:eastAsia="Calibri" w:cs="PT Astra Serif" w:ascii="Times New Roman" w:hAnsi="Times New Roman"/>
          <w:color w:val="auto"/>
          <w:sz w:val="28"/>
          <w:szCs w:val="28"/>
          <w:lang w:eastAsia="ru-RU"/>
        </w:rPr>
        <w:footnoteReference w:id="2"/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государственного контроля в установленных сферах за 2 полугодие 2022 года.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 w:eastAsia="Calibri" w:cs="PT Astra Serif"/>
          <w:b w:val="false"/>
          <w:b w:val="false"/>
          <w:bCs w:val="false"/>
          <w:color w:val="auto"/>
          <w:sz w:val="28"/>
          <w:szCs w:val="28"/>
        </w:rPr>
      </w:pPr>
      <w:r>
        <w:rPr>
          <w:rFonts w:eastAsia="Calibri" w:cs="PT Astra Serif" w:ascii="Times New Roman" w:hAnsi="Times New Roman"/>
          <w:b w:val="false"/>
          <w:bCs w:val="false"/>
          <w:color w:val="auto"/>
          <w:sz w:val="28"/>
          <w:szCs w:val="28"/>
        </w:rPr>
      </w:r>
    </w:p>
    <w:p>
      <w:pPr>
        <w:pStyle w:val="Normal"/>
        <w:suppressAutoHyphens w:val="true"/>
        <w:spacing w:lineRule="auto" w:line="276" w:before="0" w:after="0"/>
        <w:ind w:left="0" w:right="0" w:firstLine="708"/>
        <w:jc w:val="center"/>
        <w:rPr>
          <w:rFonts w:ascii="Times New Roman" w:hAnsi="Times New Roman" w:eastAsia="Calibri" w:cs="PT Astra Serif"/>
          <w:b/>
          <w:b/>
          <w:bCs/>
          <w:color w:val="auto"/>
          <w:sz w:val="28"/>
          <w:szCs w:val="28"/>
          <w:lang w:eastAsia="ru-RU"/>
        </w:rPr>
      </w:pPr>
      <w:r>
        <w:rPr>
          <w:rFonts w:eastAsia="Calibri" w:cs="PT Astra Serif" w:ascii="Times New Roman" w:hAnsi="Times New Roman"/>
          <w:b/>
          <w:bCs/>
          <w:color w:val="auto"/>
          <w:sz w:val="28"/>
          <w:szCs w:val="28"/>
          <w:lang w:eastAsia="ru-RU"/>
        </w:rPr>
        <w:t>Федеральный государственный контроль за обеспечением безопасности объектов топливно-энергетического комплекса.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center"/>
        <w:rPr>
          <w:rFonts w:ascii="Times New Roman" w:hAnsi="Times New Roman" w:eastAsia="Calibri" w:cs="PT Astra Serif"/>
          <w:b/>
          <w:b/>
          <w:bCs/>
          <w:color w:val="auto"/>
          <w:sz w:val="28"/>
          <w:szCs w:val="28"/>
          <w:lang w:eastAsia="ru-RU"/>
        </w:rPr>
      </w:pPr>
      <w:r>
        <w:rPr>
          <w:rFonts w:eastAsia="Calibri" w:cs="PT Astra Serif" w:ascii="Times New Roman" w:hAnsi="Times New Roman"/>
          <w:b/>
          <w:bCs/>
          <w:color w:val="auto"/>
          <w:sz w:val="28"/>
          <w:szCs w:val="28"/>
          <w:lang w:eastAsia="ru-RU"/>
        </w:rPr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/>
      </w:pPr>
      <w:r>
        <w:rPr>
          <w:rFonts w:eastAsia="Calibri" w:cs="PT Astra Serif" w:ascii="Times New Roman" w:hAnsi="Times New Roman"/>
          <w:color w:val="auto"/>
          <w:sz w:val="28"/>
          <w:szCs w:val="28"/>
        </w:rPr>
        <w:t>На территории Приморского края расположено 36 объектов топливно-энергетического комплекса,  включенных в перечень объектов, подлежащих категорированию, утвержденный Председателем антитеррористической комиссии Приморского края. Всем объектам, включенным в указанный перечень, присвоена соответствующая категория опасности. По категориям опасности: высокой - нет, средней – 13, низкой  – 23.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/>
      </w:pPr>
      <w:r>
        <w:rPr>
          <w:rFonts w:eastAsia="Calibri" w:cs="PT Astra Serif" w:ascii="Times New Roman" w:hAnsi="Times New Roman"/>
          <w:color w:val="auto"/>
          <w:sz w:val="28"/>
          <w:szCs w:val="28"/>
        </w:rPr>
        <w:t>С председателем антитеррористической комиссии Приморского края согласован План проведения Управлением Росгвардии по Приморскому краю проверок объектов ТЭК на 2022 год</w:t>
      </w:r>
      <w:r>
        <w:rPr>
          <w:rStyle w:val="Style15"/>
          <w:rFonts w:eastAsia="Calibri" w:cs="PT Astra Serif" w:ascii="Times New Roman" w:hAnsi="Times New Roman"/>
          <w:color w:val="auto"/>
          <w:sz w:val="28"/>
          <w:szCs w:val="28"/>
        </w:rPr>
        <w:footnoteReference w:id="3"/>
      </w:r>
      <w:r>
        <w:rPr>
          <w:rFonts w:eastAsia="Calibri" w:cs="PT Astra Serif" w:ascii="Times New Roman" w:hAnsi="Times New Roman"/>
          <w:color w:val="auto"/>
          <w:sz w:val="28"/>
          <w:szCs w:val="28"/>
        </w:rPr>
        <w:t xml:space="preserve">. 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/>
      </w:pPr>
      <w:r>
        <w:rPr>
          <w:rFonts w:eastAsia="Calibri" w:cs="PT Astra Serif" w:ascii="Times New Roman" w:hAnsi="Times New Roman"/>
          <w:color w:val="auto"/>
          <w:sz w:val="28"/>
          <w:szCs w:val="28"/>
        </w:rPr>
        <w:t>На основании Плана в 2022 году подлежали проверкам 9 объектов ТЭК, расположенных на территории Приморского края.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/>
      </w:pPr>
      <w:r>
        <w:rPr>
          <w:rFonts w:eastAsia="Calibri" w:cs="PT Astra Serif" w:ascii="Times New Roman" w:hAnsi="Times New Roman"/>
          <w:color w:val="auto"/>
          <w:sz w:val="28"/>
          <w:szCs w:val="28"/>
        </w:rPr>
        <w:t xml:space="preserve">За отчетный период в рамках осуществления федерального государственного контроля проведено </w:t>
      </w:r>
      <w:r>
        <w:rPr>
          <w:rFonts w:eastAsia="Calibri" w:cs="PT Astra Serif" w:ascii="Times New Roman" w:hAnsi="Times New Roman"/>
          <w:color w:val="auto"/>
          <w:kern w:val="2"/>
          <w:sz w:val="28"/>
          <w:szCs w:val="28"/>
          <w:lang w:val="ru-RU" w:eastAsia="ru-RU" w:bidi="ru-RU"/>
        </w:rPr>
        <w:t>9</w:t>
      </w:r>
      <w:r>
        <w:rPr>
          <w:rFonts w:eastAsia="Calibri" w:cs="PT Astra Serif" w:ascii="Times New Roman" w:hAnsi="Times New Roman"/>
          <w:color w:val="auto"/>
          <w:sz w:val="28"/>
          <w:szCs w:val="28"/>
        </w:rPr>
        <w:t xml:space="preserve"> плановых проверок объектов ТЭК  что составляет 100% от запланированных.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/>
      </w:pPr>
      <w:r>
        <w:rPr>
          <w:rFonts w:eastAsia="Calibri" w:cs="PT Astra Serif" w:ascii="Times New Roman" w:hAnsi="Times New Roman"/>
          <w:b w:val="false"/>
          <w:bCs w:val="false"/>
          <w:color w:val="auto"/>
          <w:sz w:val="28"/>
          <w:szCs w:val="28"/>
        </w:rPr>
        <w:t>Составлено 9</w:t>
      </w:r>
      <w:r>
        <w:rPr>
          <w:rFonts w:eastAsia="Calibri" w:cs="PT Astra Serif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 xml:space="preserve"> </w:t>
      </w:r>
      <w:r>
        <w:rPr>
          <w:rFonts w:eastAsia="Calibri" w:cs="PT Astra Serif" w:ascii="Times New Roman" w:hAnsi="Times New Roman"/>
          <w:b w:val="false"/>
          <w:bCs w:val="false"/>
          <w:color w:val="auto"/>
          <w:sz w:val="28"/>
          <w:szCs w:val="28"/>
        </w:rPr>
        <w:t xml:space="preserve">актов проверок, выдано </w:t>
      </w:r>
      <w:r>
        <w:rPr>
          <w:rFonts w:eastAsia="Calibri" w:cs="PT Astra Serif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5</w:t>
      </w:r>
      <w:r>
        <w:rPr>
          <w:rFonts w:eastAsia="Calibri" w:cs="PT Astra Serif" w:ascii="Times New Roman" w:hAnsi="Times New Roman"/>
          <w:b w:val="false"/>
          <w:bCs w:val="false"/>
          <w:color w:val="auto"/>
          <w:sz w:val="28"/>
          <w:szCs w:val="28"/>
        </w:rPr>
        <w:t xml:space="preserve"> предписаний. 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/>
      </w:pPr>
      <w:r>
        <w:rPr>
          <w:rFonts w:eastAsia="Calibri" w:cs="PT Astra Serif" w:ascii="Times New Roman" w:hAnsi="Times New Roman"/>
          <w:b w:val="false"/>
          <w:bCs w:val="false"/>
          <w:color w:val="auto"/>
          <w:sz w:val="28"/>
          <w:szCs w:val="28"/>
        </w:rPr>
        <w:t xml:space="preserve">По итогам проведенных плановых проверок в отношении юридических лиц, а также должностных лиц, отвечающих за обеспечение безопасности вышеперечисленных объектов, составлено </w:t>
      </w:r>
      <w:r>
        <w:rPr>
          <w:rFonts w:eastAsia="Calibri" w:cs="PT Astra Serif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7</w:t>
      </w:r>
      <w:r>
        <w:rPr>
          <w:rFonts w:eastAsia="Calibri" w:cs="PT Astra Serif" w:ascii="Times New Roman" w:hAnsi="Times New Roman"/>
          <w:b w:val="false"/>
          <w:bCs w:val="false"/>
          <w:color w:val="auto"/>
          <w:sz w:val="28"/>
          <w:szCs w:val="28"/>
        </w:rPr>
        <w:t xml:space="preserve"> протоколов об административных правонарушениях, ответственность за которые п</w:t>
      </w:r>
      <w:r>
        <w:rPr>
          <w:rFonts w:eastAsia="Calibri" w:cs="PT Astra Serif" w:ascii="Times New Roman" w:hAnsi="Times New Roman"/>
          <w:color w:val="auto"/>
          <w:sz w:val="28"/>
          <w:szCs w:val="28"/>
        </w:rPr>
        <w:t>редусмотрена статьей 20.30 кодекса об административных правонарушениях Российской Федерации (нарушение требований обеспечения безопасности и антитеррористической защищенности объектов ТЭК).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/>
      </w:pPr>
      <w:r>
        <w:rPr>
          <w:rFonts w:eastAsia="Times New Roman" w:cs="PT Astra Serif" w:ascii="Times New Roman" w:hAnsi="Times New Roman"/>
          <w:color w:val="auto"/>
          <w:sz w:val="28"/>
          <w:szCs w:val="28"/>
        </w:rPr>
        <w:t>В целях осуществления контроля за обеспечением безопасности объектов ТЭК п</w:t>
      </w:r>
      <w:r>
        <w:rPr>
          <w:rFonts w:eastAsia="Calibri" w:cs="PT Astra Serif" w:ascii="Times New Roman" w:hAnsi="Times New Roman"/>
          <w:color w:val="auto"/>
          <w:sz w:val="28"/>
          <w:szCs w:val="28"/>
        </w:rPr>
        <w:t>роверкам подверглись:</w:t>
      </w:r>
    </w:p>
    <w:p>
      <w:pPr>
        <w:pStyle w:val="Normal"/>
        <w:tabs>
          <w:tab w:val="clear" w:pos="708"/>
          <w:tab w:val="left" w:pos="567" w:leader="none"/>
        </w:tabs>
        <w:suppressAutoHyphens w:val="true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</w:rPr>
      </w:pP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>1. ТЭЦ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eastAsia="en-US"/>
        </w:rPr>
        <w:t xml:space="preserve"> «Восточная» филиала «Приморская генерация» АО «Дальневосточная генерирующая компания» 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(средней категории опасности) (январь).   </w:t>
      </w:r>
    </w:p>
    <w:p>
      <w:pPr>
        <w:pStyle w:val="Normal"/>
        <w:spacing w:before="0" w:after="0"/>
        <w:ind w:left="0" w:right="0" w:firstLine="708"/>
        <w:jc w:val="both"/>
        <w:rPr>
          <w:rFonts w:ascii="Times New Roman" w:hAnsi="Times New Roman"/>
          <w:color w:val="000000"/>
        </w:rPr>
      </w:pPr>
      <w:r>
        <w:rPr>
          <w:rFonts w:cs="PT Astra Serif" w:ascii="Times New Roman" w:hAnsi="Times New Roman"/>
          <w:color w:val="000000"/>
          <w:sz w:val="28"/>
          <w:szCs w:val="28"/>
        </w:rPr>
        <w:t xml:space="preserve">2.  </w:t>
      </w:r>
      <w:r>
        <w:rPr>
          <w:rFonts w:eastAsia="Times New Roman" w:cs="PT Astra Serif" w:ascii="Times New Roman" w:hAnsi="Times New Roman"/>
          <w:color w:val="000000"/>
          <w:kern w:val="0"/>
          <w:sz w:val="28"/>
          <w:szCs w:val="28"/>
          <w:lang w:val="ru-RU" w:eastAsia="ru-RU" w:bidi="ar-SA"/>
        </w:rPr>
        <w:t>Уссурийская газонаполнительная станция АО «Приморский газ»</w:t>
      </w:r>
      <w:r>
        <w:rPr>
          <w:rFonts w:cs="PT Astra Serif" w:ascii="Times New Roman" w:hAnsi="Times New Roman"/>
          <w:i w:val="false"/>
          <w:iCs w:val="false"/>
          <w:color w:val="000000"/>
          <w:sz w:val="28"/>
          <w:szCs w:val="28"/>
          <w:u w:val="none"/>
        </w:rPr>
        <w:t xml:space="preserve"> </w:t>
      </w:r>
      <w:r>
        <w:rPr>
          <w:rFonts w:cs="PT Astra Serif" w:ascii="Times New Roman" w:hAnsi="Times New Roman"/>
          <w:color w:val="000000"/>
          <w:sz w:val="28"/>
          <w:szCs w:val="28"/>
        </w:rPr>
        <w:t>(</w:t>
      </w:r>
      <w:r>
        <w:rPr>
          <w:rFonts w:eastAsia="Times New Roman" w:cs="PT Astra Serif" w:ascii="Times New Roman" w:hAnsi="Times New Roman"/>
          <w:color w:val="000000"/>
          <w:kern w:val="0"/>
          <w:sz w:val="28"/>
          <w:szCs w:val="28"/>
          <w:lang w:val="ru-RU" w:eastAsia="ru-RU" w:bidi="ar-SA"/>
        </w:rPr>
        <w:t>низкой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 категории опасности) (февраль).   </w:t>
      </w:r>
    </w:p>
    <w:p>
      <w:pPr>
        <w:pStyle w:val="Normal"/>
        <w:tabs>
          <w:tab w:val="clear" w:pos="708"/>
          <w:tab w:val="left" w:pos="567" w:leader="none"/>
        </w:tabs>
        <w:suppressAutoHyphens w:val="true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3.   Арсеньевская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 xml:space="preserve"> газонаполнительная станция АО «Приморский газ»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 (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>низкой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 категории опасности) (март).</w:t>
      </w:r>
    </w:p>
    <w:p>
      <w:pPr>
        <w:pStyle w:val="Normal"/>
        <w:spacing w:lineRule="auto" w:line="240" w:before="0" w:after="0"/>
        <w:ind w:left="0" w:right="0" w:firstLine="708"/>
        <w:jc w:val="both"/>
        <w:rPr>
          <w:rFonts w:ascii="Times New Roman" w:hAnsi="Times New Roman"/>
          <w:color w:val="000000"/>
        </w:rPr>
      </w:pPr>
      <w:r>
        <w:rPr>
          <w:rFonts w:cs="PT Astra Serif" w:ascii="Times New Roman" w:hAnsi="Times New Roman"/>
          <w:color w:val="000000"/>
          <w:sz w:val="28"/>
          <w:szCs w:val="28"/>
        </w:rPr>
        <w:t xml:space="preserve">4.   </w:t>
      </w:r>
      <w:r>
        <w:rPr>
          <w:rFonts w:eastAsia="Times New Roman" w:cs="PT Astra Serif" w:ascii="Times New Roman" w:hAnsi="Times New Roman"/>
          <w:color w:val="000000"/>
          <w:kern w:val="0"/>
          <w:sz w:val="28"/>
          <w:szCs w:val="28"/>
          <w:lang w:val="ru-RU" w:eastAsia="ru-RU" w:bidi="ar-SA"/>
        </w:rPr>
        <w:t>Подстанция 500 кВ «Владивосток» - филиала ПАО «Федеральная Сетевая Компания Единой Энергетической Системы» - Приморское предприятие магистральных электрических сетей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 (</w:t>
      </w:r>
      <w:r>
        <w:rPr>
          <w:rFonts w:eastAsia="Times New Roman" w:cs="PT Astra Serif" w:ascii="Times New Roman" w:hAnsi="Times New Roman"/>
          <w:color w:val="000000"/>
          <w:kern w:val="0"/>
          <w:sz w:val="28"/>
          <w:szCs w:val="28"/>
          <w:lang w:val="ru-RU" w:eastAsia="ru-RU" w:bidi="ar-SA"/>
        </w:rPr>
        <w:t>средняя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 категория опасности) (май). </w:t>
      </w:r>
    </w:p>
    <w:p>
      <w:pPr>
        <w:pStyle w:val="Normal"/>
        <w:tabs>
          <w:tab w:val="clear" w:pos="708"/>
          <w:tab w:val="left" w:pos="567" w:leader="none"/>
        </w:tabs>
        <w:suppressAutoHyphens w:val="true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ru-RU" w:bidi="ar-SA"/>
        </w:rPr>
        <w:t xml:space="preserve">5.  Структурное подразделение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ru-RU" w:bidi="ar-SA"/>
        </w:rPr>
        <w:t>«Владивостокская ТЭЦ-2» филиала «Приморская генерация» АО «Дальневосточная генерирующая компания»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ru-RU" w:bidi="ar-SA"/>
        </w:rPr>
        <w:t xml:space="preserve"> (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ru-RU" w:bidi="ar-SA"/>
        </w:rPr>
        <w:t>средней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ru-RU" w:bidi="ar-SA"/>
        </w:rPr>
        <w:t xml:space="preserve"> категории опасности) (июнь).</w:t>
      </w:r>
    </w:p>
    <w:p>
      <w:pPr>
        <w:pStyle w:val="Normal"/>
        <w:tabs>
          <w:tab w:val="clear" w:pos="708"/>
          <w:tab w:val="left" w:pos="567" w:leader="none"/>
        </w:tabs>
        <w:spacing w:lineRule="auto" w:line="240" w:before="0" w:after="0"/>
        <w:ind w:left="0" w:right="0" w:hanging="0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    </w:t>
      </w:r>
      <w:r>
        <w:rPr>
          <w:rFonts w:eastAsia="Times New Roman" w:cs="PT Astra Serif" w:ascii="Times New Roman" w:hAnsi="Times New Roman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6.  </w:t>
      </w:r>
      <w:r>
        <w:rPr>
          <w:rFonts w:eastAsia="Calibri" w:cs="PT Astra Serif" w:ascii="Times New Roman" w:hAnsi="Times New Roman"/>
          <w:i w:val="false"/>
          <w:iCs w:val="false"/>
          <w:color w:val="000000"/>
          <w:kern w:val="0"/>
          <w:sz w:val="28"/>
          <w:szCs w:val="28"/>
          <w:u w:val="none"/>
          <w:lang w:val="ru-RU" w:eastAsia="zh-CN" w:bidi="ar-SA"/>
        </w:rPr>
        <w:t>Партизанская  ГРЭС</w:t>
      </w:r>
      <w:r>
        <w:rPr>
          <w:rFonts w:eastAsia="Times New Roman" w:cs="PT Astra Serif" w:ascii="Times New Roman" w:hAnsi="Times New Roman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 xml:space="preserve"> филиала «Приморская генерация» АО «Дальневосточная генерирующая компания» (средняя категория опасности) (октябрь).</w:t>
      </w:r>
    </w:p>
    <w:p>
      <w:pPr>
        <w:pStyle w:val="Normal"/>
        <w:tabs>
          <w:tab w:val="clear" w:pos="708"/>
          <w:tab w:val="left" w:pos="567" w:leader="none"/>
        </w:tabs>
        <w:suppressAutoHyphens w:val="true"/>
        <w:spacing w:lineRule="auto" w:line="240" w:before="0" w:after="0"/>
        <w:ind w:left="0" w:right="0" w:firstLine="720"/>
        <w:jc w:val="both"/>
        <w:rPr>
          <w:rFonts w:ascii="Times New Roman" w:hAnsi="Times New Roman"/>
          <w:color w:val="000000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>7.   Подстанция 500 кВ «ОРУ-500кВ Приморской ГРЭС» (средняя категория опасности) (октябрь).</w:t>
      </w:r>
    </w:p>
    <w:p>
      <w:pPr>
        <w:pStyle w:val="Normal"/>
        <w:tabs>
          <w:tab w:val="clear" w:pos="708"/>
          <w:tab w:val="left" w:pos="567" w:leader="none"/>
        </w:tabs>
        <w:suppressAutoHyphens w:val="true"/>
        <w:spacing w:lineRule="auto" w:line="240" w:before="0" w:after="0"/>
        <w:ind w:left="0" w:right="0" w:firstLine="720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8. 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zh-CN" w:bidi="ar-SA"/>
        </w:rPr>
        <w:t>Артемовская  ТЭЦ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 филиала «Приморская генерация» АО «Дальневосточная генерирующая компания» (средняя категория опасности) (ноябрь).</w:t>
      </w:r>
    </w:p>
    <w:p>
      <w:pPr>
        <w:pStyle w:val="Normal"/>
        <w:tabs>
          <w:tab w:val="clear" w:pos="708"/>
          <w:tab w:val="left" w:pos="567" w:leader="none"/>
        </w:tabs>
        <w:suppressAutoHyphens w:val="true"/>
        <w:spacing w:lineRule="auto" w:line="240" w:before="0" w:after="0"/>
        <w:ind w:left="0" w:right="0" w:firstLine="720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>9.  Подстанция 500 кВ «Дальневосточная» (средняя категория опасности) (декабрь).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Times New Roman" w:hAnsi="Times New Roman"/>
          <w:color w:val="000000"/>
          <w:sz w:val="28"/>
          <w:szCs w:val="28"/>
        </w:rPr>
        <w:t>При проведении проверок выявлено 51</w:t>
      </w:r>
      <w:r>
        <w:rPr>
          <w:rFonts w:eastAsia="Calibri" w:cs="PT Astra Serif"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b w:val="false"/>
          <w:bCs w:val="false"/>
          <w:color w:val="000000"/>
          <w:sz w:val="28"/>
          <w:szCs w:val="28"/>
        </w:rPr>
        <w:t xml:space="preserve">нарушение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5 мая 2012 г. № 458 и Требований к обеспечению безопасности линейных объектов топливно-энергетического комплекса, утвержденных постановлением Правительства Российской Федерации от 19 сентября 2015 г. № 993 дсп.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Основными нарушениями обязательных требований,  выявленными в результате проведенных проверок сотрудниками Управления,  являются требования: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   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к построению физической защиты объекта – 4;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  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к инженерно-техническим средствам охраны – 47;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  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из них: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  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к инженерно-техническим средствам защиты – 27;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  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к системе охранной сигнализации объекта – 7;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  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к системе сбора и обработки информации – 0;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   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к системе контроля и управления доступом – 2;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   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к специальным техническим средствам досмотра – 2;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  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к системе охранной телевизионной – 3;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   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к системе оперативной связи – 0;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  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к системе охранного освещения – 4;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   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к системе оповещения – 0;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  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•</w:t>
      </w:r>
      <w:r>
        <w:rPr>
          <w:rFonts w:eastAsia="PT Astra Serif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к системе электропитания – 2.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Times New Roman" w:hAnsi="Times New Roman"/>
          <w:b w:val="false"/>
          <w:bCs w:val="false"/>
          <w:color w:val="000000"/>
          <w:sz w:val="28"/>
          <w:szCs w:val="28"/>
        </w:rPr>
        <w:t xml:space="preserve">За истекший период 2022 года проведено </w:t>
      </w:r>
      <w:r>
        <w:rPr>
          <w:rFonts w:eastAsia="Calibri" w:cs="PT Astra Serif" w:ascii="Times New Roman" w:hAnsi="Times New Roman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9</w:t>
      </w:r>
      <w:r>
        <w:rPr>
          <w:rFonts w:eastAsia="Calibri" w:cs="PT Astra Serif" w:ascii="Times New Roman" w:hAnsi="Times New Roman"/>
          <w:b w:val="false"/>
          <w:bCs w:val="false"/>
          <w:color w:val="000000"/>
          <w:sz w:val="28"/>
          <w:szCs w:val="28"/>
        </w:rPr>
        <w:t xml:space="preserve"> внеплановых проверок:   с целью осуществления контроля за устранением ранее выявленных нарушений, указанных в предписаниях  Управления. Внеплановым проверкам подверглись: </w:t>
      </w:r>
    </w:p>
    <w:p>
      <w:pPr>
        <w:pStyle w:val="Normal"/>
        <w:tabs>
          <w:tab w:val="clear" w:pos="708"/>
          <w:tab w:val="left" w:pos="567" w:leader="none"/>
        </w:tabs>
        <w:spacing w:lineRule="auto" w:line="240" w:before="0" w:after="0"/>
        <w:ind w:left="0" w:right="0" w:hanging="0"/>
        <w:jc w:val="both"/>
        <w:rPr>
          <w:color w:val="000000"/>
        </w:rPr>
      </w:pPr>
      <w:r>
        <w:rPr>
          <w:rFonts w:cs="PT Astra Serif" w:ascii="PT Astra Serif" w:hAnsi="PT Astra Serif"/>
          <w:color w:val="000000"/>
          <w:sz w:val="28"/>
          <w:szCs w:val="28"/>
        </w:rPr>
        <w:t xml:space="preserve">    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1.   </w:t>
      </w:r>
      <w:r>
        <w:rPr>
          <w:rFonts w:eastAsia="Times New Roman" w:cs="PT Astra Serif" w:ascii="Times New Roman" w:hAnsi="Times New Roman"/>
          <w:color w:val="000000"/>
          <w:kern w:val="0"/>
          <w:sz w:val="28"/>
          <w:szCs w:val="28"/>
          <w:lang w:val="ru-RU" w:eastAsia="ru-RU" w:bidi="ar-SA"/>
        </w:rPr>
        <w:t>Владивостокская нефтебаза АО «ННК-Приморнефтепродукт»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 (средняя категория опасности) (февраль). </w:t>
      </w:r>
    </w:p>
    <w:p>
      <w:pPr>
        <w:pStyle w:val="Normal"/>
        <w:tabs>
          <w:tab w:val="clear" w:pos="708"/>
          <w:tab w:val="left" w:pos="567" w:leader="none"/>
        </w:tabs>
        <w:spacing w:lineRule="auto" w:line="240" w:before="0" w:after="0"/>
        <w:ind w:left="0" w:right="0" w:hanging="0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color w:val="000000"/>
          <w:sz w:val="28"/>
          <w:szCs w:val="28"/>
        </w:rPr>
        <w:t xml:space="preserve">         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2.      </w:t>
      </w:r>
      <w:r>
        <w:rPr>
          <w:rFonts w:eastAsia="Times New Roman" w:cs="PT Astra Serif" w:ascii="Times New Roman" w:hAnsi="Times New Roman"/>
          <w:color w:val="000000"/>
          <w:kern w:val="0"/>
          <w:sz w:val="28"/>
          <w:szCs w:val="28"/>
          <w:lang w:val="ru-RU" w:eastAsia="ru-RU" w:bidi="ar-SA"/>
        </w:rPr>
        <w:t>Сысоевская нефтебаза АО «ННК-Приморнефтепродукт»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 (низкая категория опасности) (апрель). </w:t>
      </w:r>
    </w:p>
    <w:p>
      <w:pPr>
        <w:pStyle w:val="Normal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color w:val="000000"/>
          <w:sz w:val="28"/>
          <w:szCs w:val="28"/>
        </w:rPr>
        <w:t xml:space="preserve">3.     </w:t>
      </w:r>
      <w:r>
        <w:rPr>
          <w:rFonts w:eastAsia="Times New Roman" w:cs="PT Astra Serif" w:ascii="Times New Roman" w:hAnsi="Times New Roman"/>
          <w:color w:val="000000"/>
          <w:kern w:val="0"/>
          <w:sz w:val="28"/>
          <w:szCs w:val="28"/>
          <w:lang w:val="ru-RU" w:eastAsia="ru-RU" w:bidi="ar-SA"/>
        </w:rPr>
        <w:t>Подстанция 500 кВ «Чугуевка-2» - филиала ПАО «Федеральная Сетевая Компания Единой Энергетической Системы» - Приморское предприятие магистральных элктрических сетей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 (</w:t>
      </w:r>
      <w:r>
        <w:rPr>
          <w:rFonts w:eastAsia="Times New Roman" w:cs="PT Astra Serif" w:ascii="Times New Roman" w:hAnsi="Times New Roman"/>
          <w:color w:val="000000"/>
          <w:kern w:val="0"/>
          <w:sz w:val="28"/>
          <w:szCs w:val="28"/>
          <w:lang w:val="ru-RU" w:eastAsia="ru-RU" w:bidi="ar-SA"/>
        </w:rPr>
        <w:t>средняя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 категория опасности) (май). </w:t>
      </w:r>
    </w:p>
    <w:p>
      <w:pPr>
        <w:pStyle w:val="Normal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color w:val="000000"/>
          <w:sz w:val="28"/>
          <w:szCs w:val="28"/>
        </w:rPr>
        <w:t>4.     «Владивостокская ТЭЦ-2</w:t>
      </w:r>
      <w:r>
        <w:rPr>
          <w:rFonts w:cs="PT Astra Serif" w:ascii="Times New Roman" w:hAnsi="Times New Roman"/>
          <w:i w:val="false"/>
          <w:iCs w:val="false"/>
          <w:color w:val="000000"/>
          <w:sz w:val="28"/>
          <w:szCs w:val="28"/>
          <w:u w:val="none"/>
        </w:rPr>
        <w:t xml:space="preserve">» филиала «Приморская генерация» АО «Дальневосточная генерирующая компания» 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(средней категории опасности) (май). </w:t>
      </w:r>
    </w:p>
    <w:p>
      <w:pPr>
        <w:pStyle w:val="Normal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color w:val="000000"/>
          <w:sz w:val="28"/>
          <w:szCs w:val="28"/>
        </w:rPr>
        <w:t>5.  «</w:t>
      </w:r>
      <w:r>
        <w:rPr>
          <w:rFonts w:eastAsia="Times New Roman" w:cs="PT Astra Serif" w:ascii="Times New Roman" w:hAnsi="Times New Roman"/>
          <w:color w:val="000000"/>
          <w:kern w:val="0"/>
          <w:sz w:val="28"/>
          <w:szCs w:val="28"/>
          <w:lang w:val="ru-RU" w:eastAsia="ru-RU" w:bidi="ar-SA"/>
        </w:rPr>
        <w:t>Партизанская ГРЭС</w:t>
      </w:r>
      <w:r>
        <w:rPr>
          <w:rFonts w:cs="PT Astra Serif" w:ascii="Times New Roman" w:hAnsi="Times New Roman"/>
          <w:i w:val="false"/>
          <w:iCs w:val="false"/>
          <w:color w:val="000000"/>
          <w:sz w:val="28"/>
          <w:szCs w:val="28"/>
          <w:u w:val="none"/>
        </w:rPr>
        <w:t xml:space="preserve">» филиала «Приморская генерация» АО «Дальневосточная генерирующая компания» 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(средней категории опасности) (май). </w:t>
      </w:r>
    </w:p>
    <w:p>
      <w:pPr>
        <w:pStyle w:val="Normal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color w:val="000000"/>
          <w:sz w:val="28"/>
          <w:szCs w:val="28"/>
        </w:rPr>
        <w:t>6.  Вольно-Надеждинская нефтебаза филиала № 4 ООО «РН-Востокнефтепродукт»</w:t>
      </w:r>
      <w:r>
        <w:rPr>
          <w:rFonts w:cs="PT Astra Serif" w:ascii="Times New Roman" w:hAnsi="Times New Roman"/>
          <w:i w:val="false"/>
          <w:iCs w:val="false"/>
          <w:color w:val="000000"/>
          <w:sz w:val="28"/>
          <w:szCs w:val="28"/>
          <w:u w:val="none"/>
        </w:rPr>
        <w:t xml:space="preserve"> </w:t>
      </w:r>
      <w:r>
        <w:rPr>
          <w:rFonts w:cs="PT Astra Serif" w:ascii="Times New Roman" w:hAnsi="Times New Roman"/>
          <w:color w:val="000000"/>
          <w:sz w:val="28"/>
          <w:szCs w:val="28"/>
        </w:rPr>
        <w:t xml:space="preserve">(низкой категории опасности) (сентябрь). </w:t>
      </w:r>
    </w:p>
    <w:p>
      <w:pPr>
        <w:pStyle w:val="Normal"/>
        <w:tabs>
          <w:tab w:val="clear" w:pos="708"/>
          <w:tab w:val="left" w:pos="567" w:leader="none"/>
        </w:tabs>
        <w:suppressAutoHyphens w:val="true"/>
        <w:spacing w:lineRule="auto" w:line="240" w:before="0" w:after="0"/>
        <w:ind w:left="0" w:right="0" w:firstLine="720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7. 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zh-CN" w:bidi="ar-SA"/>
        </w:rPr>
        <w:t>Артемовская ТЭЦ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 филиала «Приморская генерация» АО «Дальневосточная генерирующая компания» (средняя категория опасности) (октябрь).</w:t>
      </w:r>
    </w:p>
    <w:p>
      <w:pPr>
        <w:pStyle w:val="Normal"/>
        <w:tabs>
          <w:tab w:val="clear" w:pos="708"/>
          <w:tab w:val="left" w:pos="567" w:leader="none"/>
        </w:tabs>
        <w:suppressAutoHyphens w:val="true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8.   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zh-CN" w:bidi="ar-SA"/>
        </w:rPr>
        <w:t>ООО    «Приморская  ГРЭС»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 (средняя категория опасности) (ноябрь).</w:t>
      </w:r>
    </w:p>
    <w:p>
      <w:pPr>
        <w:pStyle w:val="Normal"/>
        <w:tabs>
          <w:tab w:val="clear" w:pos="708"/>
          <w:tab w:val="left" w:pos="567" w:leader="none"/>
        </w:tabs>
        <w:suppressAutoHyphens w:val="true"/>
        <w:spacing w:lineRule="auto" w:line="240" w:before="0" w:after="0"/>
        <w:ind w:left="0" w:right="0" w:firstLine="720"/>
        <w:jc w:val="both"/>
        <w:rPr>
          <w:rFonts w:ascii="Times New Roman" w:hAnsi="Times New Roman"/>
        </w:rPr>
      </w:pP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9.  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zh-CN" w:bidi="ar-SA"/>
        </w:rPr>
        <w:t>Морского  нефтеналивного  терминала  ООО «РН-Морской терминал Находка»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 (средняя категория опасности) (декабрь).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По итогам проведенных внеплановых проверок в отношении должностных лиц, отвечающих за обеспечение безопасности вышеперечисленных объектов, составлено </w:t>
      </w:r>
      <w:r>
        <w:rPr>
          <w:rFonts w:eastAsia="Calibri" w:cs="PT Astra Serif" w:ascii="Times New Roman" w:hAnsi="Times New Roman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10</w:t>
      </w:r>
      <w:r>
        <w:rPr>
          <w:rFonts w:eastAsia="Calibri" w:cs="PT Astra Serif" w:ascii="Times New Roman" w:hAnsi="Times New Roman"/>
          <w:b w:val="false"/>
          <w:bCs w:val="false"/>
          <w:color w:val="000000"/>
          <w:sz w:val="28"/>
          <w:szCs w:val="28"/>
        </w:rPr>
        <w:t xml:space="preserve"> протоколов</w:t>
      </w:r>
      <w:r>
        <w:rPr>
          <w:rFonts w:eastAsia="Calibri" w:cs="PT Astra Serif"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об административных правонарушениях, ответственность за которые предусмотрена частью 1 статьи 19.5 кодекса об административных правонарушениях Российской Федерации «Невыполнение в установленный срок законного предписания органа (должностного лица) осуществляющего государственный надзор (контроль), муниципальный контроль об устранении нарушений законодательства».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Times New Roman" w:hAnsi="Times New Roman"/>
          <w:color w:val="000000"/>
          <w:sz w:val="28"/>
          <w:szCs w:val="28"/>
        </w:rPr>
        <w:t>В рамках осуществления своих полномочий сотрудники Управления Росгвардии по Приморскому краю в текущем году  приняли  участие в 2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7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межведомственных обследованиях объектов топливно-энергетического комплекса на предмет выявления уязвимых мест, потенциально опасных участков и критических элементов. По результатам проведенных обследований составлены соответствующие акты, даны рекомендации по устранению выявленных недостатков.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794"/>
        <w:jc w:val="both"/>
        <w:rPr>
          <w:color w:val="000000"/>
        </w:rPr>
      </w:pPr>
      <w:r>
        <w:rPr>
          <w:rFonts w:eastAsia="Calibri" w:cs="PT Astra Serif" w:ascii="Times New Roman" w:hAnsi="Times New Roman"/>
          <w:color w:val="000000"/>
          <w:kern w:val="2"/>
          <w:sz w:val="28"/>
          <w:szCs w:val="28"/>
          <w:lang w:val="ru-RU" w:eastAsia="ru-RU" w:bidi="ru-RU"/>
        </w:rPr>
        <w:t>На отчетную дату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принято участие в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1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3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комисси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ях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по категорированию объектов ТЭК, актуализировано 1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>3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паспортов безопасности.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Times New Roman" w:hAnsi="Times New Roman"/>
          <w:color w:val="000000"/>
          <w:sz w:val="28"/>
          <w:szCs w:val="28"/>
        </w:rPr>
        <w:t>Ежеквартально в антитеррористическую комиссию направляется информация о результатах проведенных проверок объектов ТЭК и основных недостатках в обеспечении безопасности объектов данной категории выявленных  в ходе проверок.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</w:rPr>
      </w:pPr>
      <w:r>
        <w:rPr>
          <w:rFonts w:eastAsia="Calibri" w:cs="PT Astra Serif" w:ascii="Times New Roman" w:hAnsi="Times New Roman"/>
          <w:color w:val="000000"/>
          <w:sz w:val="28"/>
          <w:szCs w:val="28"/>
        </w:rPr>
        <w:t>За текущий период 2022 года руководителю субъекта ТЭК (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ru-RU" w:bidi="ar-SA"/>
        </w:rPr>
        <w:t>филиал «Приморский» АО «Оборонэнерго»)</w:t>
      </w:r>
      <w:r>
        <w:rPr>
          <w:rFonts w:eastAsia="Calibri" w:cs="PT Astra Serif" w:ascii="Times New Roman" w:hAnsi="Times New Roman"/>
          <w:color w:val="000000"/>
          <w:sz w:val="28"/>
          <w:szCs w:val="28"/>
        </w:rPr>
        <w:t xml:space="preserve"> выдано 1 предостережение о недопустимости обязательных требований по антитеррористической защищенности объектов ТЭК.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Times New Roman" w:hAnsi="Times New Roman" w:eastAsia="Calibri" w:cs="PT Astra Serif"/>
          <w:color w:val="auto"/>
          <w:sz w:val="28"/>
          <w:szCs w:val="28"/>
        </w:rPr>
      </w:pPr>
      <w:r>
        <w:rPr>
          <w:rFonts w:eastAsia="Calibri" w:cs="PT Astra Serif" w:ascii="Times New Roman" w:hAnsi="Times New Roman"/>
          <w:color w:val="auto"/>
          <w:sz w:val="28"/>
          <w:szCs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737"/>
        <w:jc w:val="both"/>
        <w:rPr>
          <w:rFonts w:ascii="Times New Roman" w:hAnsi="Times New Roman" w:eastAsia="Calibri" w:cs="PT Astra Serif"/>
          <w:b/>
          <w:b/>
          <w:bCs/>
          <w:color w:val="auto"/>
          <w:sz w:val="28"/>
          <w:szCs w:val="28"/>
        </w:rPr>
      </w:pPr>
      <w:r>
        <w:rPr>
          <w:rFonts w:eastAsia="Calibri" w:cs="PT Astra Serif" w:ascii="Times New Roman" w:hAnsi="Times New Roman"/>
          <w:b/>
          <w:bCs/>
          <w:color w:val="auto"/>
          <w:sz w:val="28"/>
          <w:szCs w:val="28"/>
        </w:rPr>
        <w:t xml:space="preserve">Федеральный государственный контроль за деятельностью подразделений ведомственной охраны и подразделений охраны юридических лиц с особыми уставными задачами.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737"/>
        <w:jc w:val="both"/>
        <w:rPr>
          <w:rFonts w:ascii="Times New Roman" w:hAnsi="Times New Roman" w:eastAsia="Calibri" w:cs="PT Astra Serif"/>
          <w:color w:val="auto"/>
          <w:sz w:val="28"/>
          <w:szCs w:val="28"/>
        </w:rPr>
      </w:pPr>
      <w:r>
        <w:rPr>
          <w:rFonts w:eastAsia="Calibri" w:cs="PT Astra Serif" w:ascii="Times New Roman" w:hAnsi="Times New Roman"/>
          <w:color w:val="auto"/>
          <w:sz w:val="28"/>
          <w:szCs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737"/>
        <w:jc w:val="both"/>
        <w:rPr>
          <w:rFonts w:ascii="Times New Roman" w:hAnsi="Times New Roman" w:cs="PT Astra Serif"/>
          <w:color w:val="auto"/>
          <w:sz w:val="28"/>
          <w:szCs w:val="28"/>
        </w:rPr>
      </w:pPr>
      <w:r>
        <w:rPr>
          <w:rFonts w:cs="PT Astra Serif" w:ascii="Times New Roman" w:hAnsi="Times New Roman"/>
          <w:color w:val="auto"/>
          <w:sz w:val="28"/>
          <w:szCs w:val="28"/>
        </w:rPr>
        <w:t xml:space="preserve">На территории Приморского края осуществляют охранную деятельность 7 подразделений ведомственной охраны, 6 подразделений охраны юридических лиц с особыми уставными задачами. 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color w:val="auto"/>
          <w:sz w:val="28"/>
          <w:szCs w:val="28"/>
        </w:rPr>
        <w:t>В соответствии с пунктом 7 части 1 статьи 2 Федерального закона от 03 июля 2016 г. № 226-ФЗ «О войсках национальной гвардии Российской Федерации», а также планом проведения Управлением Росгвардии по Приморскому краю плановых проверок юридических лиц и индивидуальных предпринимателей на 2022 год предусмотрено проведение</w:t>
      </w:r>
      <w:r>
        <w:rPr>
          <w:rFonts w:cs="PT Astra Serif" w:ascii="Times New Roman" w:hAnsi="Times New Roman"/>
          <w:b w:val="false"/>
          <w:bCs w:val="false"/>
          <w:color w:val="auto"/>
          <w:sz w:val="28"/>
          <w:szCs w:val="28"/>
        </w:rPr>
        <w:t xml:space="preserve"> 11 проверок юр</w:t>
      </w:r>
      <w:r>
        <w:rPr>
          <w:rFonts w:cs="PT Astra Serif" w:ascii="Times New Roman" w:hAnsi="Times New Roman"/>
          <w:color w:val="auto"/>
          <w:sz w:val="28"/>
          <w:szCs w:val="28"/>
        </w:rPr>
        <w:t>идических лиц.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color w:val="auto"/>
          <w:sz w:val="28"/>
          <w:szCs w:val="28"/>
          <w:lang w:eastAsia="ru-RU"/>
        </w:rPr>
        <w:t xml:space="preserve">В 2022 году </w:t>
      </w:r>
      <w:r>
        <w:rPr>
          <w:rFonts w:eastAsia="Times New Roman" w:cs="PT Astra Serif" w:ascii="Times New Roman" w:hAnsi="Times New Roman"/>
          <w:color w:val="auto"/>
          <w:kern w:val="2"/>
          <w:sz w:val="28"/>
          <w:szCs w:val="28"/>
          <w:lang w:val="ru-RU" w:eastAsia="ru-RU" w:bidi="ru-RU"/>
        </w:rPr>
        <w:t>проведены</w:t>
      </w:r>
      <w:r>
        <w:rPr>
          <w:rFonts w:eastAsia="Times New Roman" w:cs="PT Astra Serif" w:ascii="Times New Roman" w:hAnsi="Times New Roman"/>
          <w:color w:val="auto"/>
          <w:sz w:val="28"/>
          <w:szCs w:val="28"/>
          <w:lang w:eastAsia="ru-RU"/>
        </w:rPr>
        <w:t xml:space="preserve"> проверки: 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auto"/>
          <w:sz w:val="28"/>
          <w:szCs w:val="28"/>
          <w:u w:val="none"/>
          <w:em w:val="none"/>
          <w:lang w:eastAsia="ru-RU"/>
        </w:rPr>
        <w:t xml:space="preserve">1. </w:t>
      </w: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Центр охраны объектов связи (Филиал) ФГУП "Охрана" Росгвардии (февраль),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2. ФГКУ комбинат "Авангард" Управления Федерального агентства по государственным резервам по Дальневосточному федеральному округу (апрель),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3.  ФГКУ комбинат "Арктика" Управления Федерального агентства по государственным резервам по Дальневосточному федеральному округу (апрель),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4.  ФГКУ комбинат "Радуга" Управления Федерального агентства по государственным резервам по Дальневосточному федеральному округу (март),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5.  ФГКУ комбинат "Восток" Управления Федерального агентства по государственным резервам по Дальневосточному федеральному округу (апрель),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6.  ФГКУ комбинат "Взморье" Управления Федерального агентства по государственным резервам по Дальневосточному федеральному округу (март),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7. ФГКУ комбинат "Чайка" Управления Федерального агентства по государственным резервам по Дальневосточному федеральному округу (март),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8.  ФГКУ комбинат "Пионер" Управления Федерального агентства по государственным резервам по Дальневосточному федеральному округу (апрель),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9. Центр охраны объектов топливно-энергетического комплекса (Филиал) ФГУП "Охрана" Росгвардии (июнь),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10.  ФГУП "Ведомственная охрана Росатома", отдельный отряд № 706 Межрегионального управления ведомственной охраны № 7 ФГУП  "Ведомственная охрана Росатома" (август),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eastAsia="Times New Roman" w:cs="PT Astra Serif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11.  ПАО "СБЕРБАНК России" (октябрь)</w:t>
      </w:r>
      <w:r>
        <w:rPr>
          <w:rFonts w:eastAsia="Times New Roman" w:cs="PT Astra Serif" w:ascii="Times New Roman" w:hAnsi="Times New Roman"/>
          <w:color w:val="auto"/>
          <w:sz w:val="28"/>
          <w:szCs w:val="28"/>
          <w:lang w:eastAsia="ru-RU"/>
        </w:rPr>
        <w:t>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cs="PT Astra Serif" w:ascii="Times New Roman" w:hAnsi="Times New Roman"/>
          <w:color w:val="auto"/>
          <w:sz w:val="28"/>
          <w:szCs w:val="28"/>
        </w:rPr>
        <w:t>За отчетный период в рамках осуществления федерального государственного контроля проверок юридических лиц</w:t>
      </w:r>
      <w:r>
        <w:rPr>
          <w:rFonts w:cs="PT Astra Serif" w:ascii="Times New Roman" w:hAnsi="Times New Roman"/>
          <w:b/>
          <w:color w:val="auto"/>
          <w:sz w:val="28"/>
          <w:szCs w:val="28"/>
        </w:rPr>
        <w:t xml:space="preserve"> </w:t>
      </w:r>
      <w:r>
        <w:rPr>
          <w:rFonts w:eastAsia="Times New Roman" w:cs="PT Astra Serif" w:ascii="Times New Roman" w:hAnsi="Times New Roman"/>
          <w:color w:val="auto"/>
          <w:sz w:val="28"/>
          <w:szCs w:val="28"/>
          <w:lang w:eastAsia="ru-RU"/>
        </w:rPr>
        <w:t>на предмет наличия законных оснований для выполнения функций по охране объектов, учредительных и разрешительных документов, соблюдения требований законодательных и иных нормативных правовых</w:t>
      </w:r>
      <w:r>
        <w:rPr>
          <w:rFonts w:eastAsia="Times New Roman" w:cs="PT Astra Serif" w:ascii="Times New Roman" w:hAnsi="Times New Roman"/>
          <w:b w:val="false"/>
          <w:bCs w:val="false"/>
          <w:color w:val="auto"/>
          <w:sz w:val="28"/>
          <w:szCs w:val="28"/>
          <w:lang w:eastAsia="ru-RU"/>
        </w:rPr>
        <w:t xml:space="preserve"> актов, регламентирующих охранную деятельность и оборот оружия проведено </w:t>
      </w:r>
      <w:r>
        <w:rPr>
          <w:rFonts w:eastAsia="Times New Roman" w:cs="PT Astra Serif" w:ascii="Times New Roman" w:hAnsi="Times New Roman"/>
          <w:b w:val="false"/>
          <w:bCs w:val="false"/>
          <w:color w:val="auto"/>
          <w:kern w:val="2"/>
          <w:sz w:val="28"/>
          <w:szCs w:val="28"/>
          <w:lang w:val="ru-RU" w:eastAsia="ru-RU" w:bidi="ru-RU"/>
        </w:rPr>
        <w:t>11</w:t>
      </w:r>
      <w:r>
        <w:rPr>
          <w:rFonts w:eastAsia="Times New Roman" w:cs="PT Astra Serif" w:ascii="Times New Roman" w:hAnsi="Times New Roman"/>
          <w:b w:val="false"/>
          <w:bCs w:val="false"/>
          <w:color w:val="auto"/>
          <w:sz w:val="28"/>
          <w:szCs w:val="28"/>
          <w:lang w:eastAsia="ru-RU"/>
        </w:rPr>
        <w:t xml:space="preserve"> плановых проверок (100% от запланированных). Составлено </w:t>
      </w:r>
      <w:r>
        <w:rPr>
          <w:rFonts w:eastAsia="Times New Roman" w:cs="PT Astra Serif" w:ascii="Times New Roman" w:hAnsi="Times New Roman"/>
          <w:b w:val="false"/>
          <w:bCs w:val="false"/>
          <w:color w:val="auto"/>
          <w:kern w:val="2"/>
          <w:sz w:val="28"/>
          <w:szCs w:val="28"/>
          <w:lang w:val="ru-RU" w:eastAsia="ru-RU" w:bidi="ru-RU"/>
        </w:rPr>
        <w:t>11</w:t>
      </w:r>
      <w:r>
        <w:rPr>
          <w:rFonts w:eastAsia="Times New Roman" w:cs="PT Astra Serif" w:ascii="Times New Roman" w:hAnsi="Times New Roman"/>
          <w:b w:val="false"/>
          <w:bCs w:val="false"/>
          <w:color w:val="auto"/>
          <w:sz w:val="28"/>
          <w:szCs w:val="28"/>
          <w:lang w:eastAsia="ru-RU"/>
        </w:rPr>
        <w:t xml:space="preserve"> актов проверок. Внесено </w:t>
      </w:r>
      <w:r>
        <w:rPr>
          <w:rFonts w:eastAsia="Times New Roman" w:cs="PT Astra Serif" w:ascii="Times New Roman" w:hAnsi="Times New Roman"/>
          <w:b w:val="false"/>
          <w:bCs w:val="false"/>
          <w:color w:val="auto"/>
          <w:kern w:val="2"/>
          <w:sz w:val="28"/>
          <w:szCs w:val="28"/>
          <w:lang w:val="ru-RU" w:eastAsia="ru-RU" w:bidi="ru-RU"/>
        </w:rPr>
        <w:t>10</w:t>
      </w:r>
      <w:r>
        <w:rPr>
          <w:rFonts w:eastAsia="Times New Roman" w:cs="PT Astra Serif" w:ascii="Times New Roman" w:hAnsi="Times New Roman"/>
          <w:b w:val="false"/>
          <w:bCs w:val="false"/>
          <w:color w:val="auto"/>
          <w:sz w:val="28"/>
          <w:szCs w:val="28"/>
          <w:lang w:eastAsia="ru-RU"/>
        </w:rPr>
        <w:t xml:space="preserve"> обязательных для исполнения предписаний.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>За истекший период 2022 года на должностных лиц составлен 21 протокол об административном правонарушении: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 xml:space="preserve"> 2 протокола об административном правонарушении,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en-US"/>
        </w:rPr>
        <w:t xml:space="preserve">ответственность за которые предусмотрена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ru-RU" w:bidi="ar-SA"/>
        </w:rPr>
        <w:t xml:space="preserve">частью 1 статьи 20.8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КоАП РФ,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ru-RU" w:bidi="ar-SA"/>
        </w:rPr>
        <w:t xml:space="preserve">19 протоколов об административном правонарушении,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en-US" w:bidi="ar-SA"/>
        </w:rPr>
        <w:t xml:space="preserve">ответственность за которые предусмотрена 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ru-RU" w:bidi="ar-SA"/>
        </w:rPr>
        <w:t xml:space="preserve">частью 3 статьи 20.12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>КоАП РФ.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 w:eastAsia="Times New Roman" w:cs="PT Astra Serif"/>
          <w:b w:val="false"/>
          <w:b w:val="false"/>
          <w:bCs w:val="false"/>
          <w:i w:val="false"/>
          <w:i w:val="false"/>
          <w:iCs w:val="false"/>
          <w:color w:val="auto"/>
          <w:sz w:val="28"/>
          <w:szCs w:val="28"/>
          <w:lang w:eastAsia="ru-RU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>Всего по итогам проведенных в 2022 году плановых проверок подразделений ведомственной охраны и юридических лиц с особыми уставными задачами выявлено 138 нарушений обязательных требований.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 w:eastAsia="Times New Roman" w:cs="PT Astra Serif"/>
          <w:b w:val="false"/>
          <w:b w:val="false"/>
          <w:bCs w:val="false"/>
          <w:i w:val="false"/>
          <w:i w:val="false"/>
          <w:iCs w:val="false"/>
          <w:color w:val="auto"/>
          <w:sz w:val="28"/>
          <w:szCs w:val="28"/>
          <w:lang w:eastAsia="ru-RU"/>
        </w:rPr>
      </w:pP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 xml:space="preserve">За отчетный период в рамках осуществления федерального государственного контроля проверок юридических лиц на предмет исполнения ранее выданных предписаний об устранении выявленных нарушений проведена 1 внеплановая проверка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>Владивостокского отряда ведомственной охраны — структурного подразделения филиала федерального государственного предприятия «Ведомственная охрана железнодорожного транспорта Российской Федерации» на Дальневосточной железной дороге.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 xml:space="preserve"> Составлен 1 акт проверки.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val="ru-RU" w:eastAsia="zh-CN" w:bidi="ar-SA"/>
        </w:rPr>
        <w:t xml:space="preserve">В результате проведенной проверки установлено, что недостатки, указанные в предписании об устранении выявленных нарушений устранены в полном объеме и в установленный срок. </w:t>
      </w:r>
      <w:r>
        <w:rPr>
          <w:rFonts w:eastAsia="Times New Roman" w:cs="PT Astra Serif" w:ascii="Times New Roman" w:hAnsi="Times New Roman"/>
          <w:b w:val="false"/>
          <w:bCs w:val="false"/>
          <w:i w:val="false"/>
          <w:iCs w:val="false"/>
          <w:color w:val="auto"/>
          <w:sz w:val="28"/>
          <w:szCs w:val="28"/>
          <w:lang w:eastAsia="ru-RU"/>
        </w:rPr>
        <w:t>Протоколов об административных правонарушениях не составлялось.</w:t>
      </w:r>
    </w:p>
    <w:p>
      <w:pPr>
        <w:pStyle w:val="Normal"/>
        <w:tabs>
          <w:tab w:val="clear" w:pos="708"/>
          <w:tab w:val="left" w:pos="567" w:leader="none"/>
        </w:tabs>
        <w:suppressAutoHyphens w:val="true"/>
        <w:spacing w:lineRule="auto" w:line="240" w:before="0" w:after="0"/>
        <w:ind w:left="0" w:right="0" w:firstLine="709"/>
        <w:jc w:val="both"/>
        <w:rPr>
          <w:rFonts w:ascii="Times New Roman" w:hAnsi="Times New Roman" w:eastAsia="Times New Roman" w:cs="PT Astra Serif"/>
          <w:b w:val="false"/>
          <w:b w:val="false"/>
          <w:bCs w:val="false"/>
          <w:i w:val="false"/>
          <w:i w:val="false"/>
          <w:iCs w:val="false"/>
          <w:color w:val="000000"/>
          <w:sz w:val="28"/>
          <w:szCs w:val="28"/>
          <w:lang w:eastAsia="ru-RU"/>
        </w:rPr>
      </w:pP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 xml:space="preserve">За истекший период 2022 года составлено и направлено в адрес отдела по Приморскому краю Центра охраны объектов топливно-энергетического комплекса (филиал) ФГУП «Охрана» Росгвардии </w:t>
      </w:r>
      <w:r>
        <w:rPr>
          <w:rFonts w:eastAsia="Calibri" w:cs="PT Astra Serif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>1 предостережение</w:t>
      </w:r>
      <w:r>
        <w:rPr>
          <w:rFonts w:eastAsia="Calibri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ru-RU"/>
        </w:rPr>
        <w:t xml:space="preserve"> о недопустимости нарушений обязательных требований законодательных актов РФ  №820/9-300, со сроками исполнения 01.07.2022 г.</w:t>
      </w:r>
    </w:p>
    <w:p>
      <w:pPr>
        <w:pStyle w:val="Normal"/>
        <w:spacing w:lineRule="auto" w:line="240" w:before="0" w:after="0"/>
        <w:ind w:firstLine="709"/>
        <w:jc w:val="both"/>
        <w:rPr>
          <w:rFonts w:eastAsia="Calibri" w:cs="Times New Roman"/>
        </w:rPr>
      </w:pPr>
      <w:r>
        <w:rPr>
          <w:rFonts w:eastAsia="Calibri" w:cs="Times New Roman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  <w:sz w:val="28"/>
          <w:szCs w:val="28"/>
        </w:rPr>
      </w:pPr>
      <w:r>
        <w:rPr/>
      </w:r>
    </w:p>
    <w:sectPr>
      <w:footnotePr>
        <w:numFmt w:val="decimal"/>
      </w:footnotePr>
      <w:type w:val="nextPage"/>
      <w:pgSz w:w="11906" w:h="16838"/>
      <w:pgMar w:left="1701" w:right="991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24"/>
        <w:rPr>
          <w:sz w:val="20"/>
          <w:szCs w:val="20"/>
        </w:rPr>
      </w:pPr>
      <w:r>
        <w:rPr>
          <w:rStyle w:val="Style16"/>
        </w:rPr>
        <w:footnoteRef/>
      </w:r>
      <w:r>
        <w:rPr>
          <w:sz w:val="20"/>
          <w:szCs w:val="20"/>
        </w:rPr>
        <w:t>Далее - «Управление».</w:t>
      </w:r>
    </w:p>
  </w:footnote>
  <w:footnote w:id="3">
    <w:p>
      <w:pPr>
        <w:pStyle w:val="Style24"/>
        <w:rPr>
          <w:sz w:val="20"/>
          <w:szCs w:val="20"/>
        </w:rPr>
      </w:pPr>
      <w:r>
        <w:rPr>
          <w:rStyle w:val="Style16"/>
        </w:rPr>
        <w:footnoteRef/>
      </w:r>
      <w:r>
        <w:rPr>
          <w:sz w:val="20"/>
          <w:szCs w:val="20"/>
        </w:rPr>
        <w:t>Далее - «План».</w:t>
      </w:r>
    </w:p>
  </w:footnote>
</w:footnotes>
</file>

<file path=word/settings.xml><?xml version="1.0" encoding="utf-8"?>
<w:settings xmlns:w="http://schemas.openxmlformats.org/wordprocessingml/2006/main">
  <w:zoom w:percent="10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3"/>
    <w:uiPriority w:val="99"/>
    <w:qFormat/>
    <w:rsid w:val="00542338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uiPriority w:val="99"/>
    <w:qFormat/>
    <w:rsid w:val="00542338"/>
    <w:rPr>
      <w:vertAlign w:val="superscript"/>
    </w:rPr>
  </w:style>
  <w:style w:type="character" w:styleId="Style16">
    <w:name w:val="Символ сноски"/>
    <w:qFormat/>
    <w:rPr/>
  </w:style>
  <w:style w:type="character" w:styleId="Style17">
    <w:name w:val="Привязка концевой сноски"/>
    <w:rPr>
      <w:vertAlign w:val="superscript"/>
    </w:rPr>
  </w:style>
  <w:style w:type="character" w:styleId="Style18">
    <w:name w:val="Символ концевой сноски"/>
    <w:qFormat/>
    <w:rPr/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ascii="PT Astra Serif" w:hAnsi="PT Astra Serif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4">
    <w:name w:val="Footnote Text"/>
    <w:basedOn w:val="Normal"/>
    <w:link w:val="a4"/>
    <w:uiPriority w:val="99"/>
    <w:rsid w:val="00542338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Application>LibreOffice/6.4.7.2$Linux_X86_64 LibreOffice_project/72d9d5113b23a0ed474720f9d366fcde9a2744dd</Application>
  <Pages>5</Pages>
  <Words>1253</Words>
  <Characters>9629</Characters>
  <CharactersWithSpaces>10984</CharactersWithSpaces>
  <Paragraphs>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2019-06-18T06:11:00Z</dcterms:created>
  <dc:creator>User</dc:creator>
  <dc:description/>
  <dc:language>ru-RU</dc:language>
  <cp:lastModifiedBy/>
  <dcterms:modified xsi:type="dcterms:W3CDTF">2022-12-26T10:01:05Z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